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BAD103">
      <w:pPr>
        <w:jc w:val="center"/>
        <w:rPr>
          <w:rFonts w:hint="eastAsia" w:ascii="方正小标宋简体" w:hAnsi="方正小标宋简体" w:eastAsia="方正小标宋简体" w:cs="方正小标宋简体"/>
          <w:sz w:val="36"/>
          <w:szCs w:val="44"/>
          <w:lang w:val="en-US" w:eastAsia="zh-CN"/>
        </w:rPr>
      </w:pPr>
      <w:r>
        <w:rPr>
          <w:rFonts w:hint="eastAsia" w:ascii="方正小标宋简体" w:hAnsi="方正小标宋简体" w:eastAsia="方正小标宋简体" w:cs="方正小标宋简体"/>
          <w:sz w:val="36"/>
          <w:szCs w:val="44"/>
          <w:lang w:val="en-US" w:eastAsia="zh-CN"/>
        </w:rPr>
        <w:t>关于课堂教学评价情况的调研问卷</w:t>
      </w:r>
    </w:p>
    <w:p w14:paraId="419C9C6D">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为进一步提升课堂教学质量，推动教学评价体系的科学化、合理化，学校正在积极推进课堂教学评价改革。为更好地了解各方意见，确保改革措施的针对性和有效性，现面向非</w:t>
      </w:r>
      <w:bookmarkStart w:id="0" w:name="_GoBack"/>
      <w:bookmarkEnd w:id="0"/>
      <w:r>
        <w:rPr>
          <w:rFonts w:hint="eastAsia" w:ascii="仿宋" w:hAnsi="仿宋" w:eastAsia="仿宋" w:cs="仿宋"/>
          <w:sz w:val="28"/>
          <w:szCs w:val="28"/>
          <w:lang w:val="en-US" w:eastAsia="zh-CN"/>
        </w:rPr>
        <w:t>试点学院开展情况调研，调研的主要问题如下。</w:t>
      </w:r>
    </w:p>
    <w:p w14:paraId="51EC3D0A">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jc w:val="both"/>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学院教师在课堂教学评价方面反映较多或较强烈的意见有哪些？</w:t>
      </w:r>
    </w:p>
    <w:p w14:paraId="057555D7">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jc w:val="both"/>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学院认为课堂教学评价改革的重点应放在哪些方面，或希望通过改革优化现有教学评价体系的哪些不足？（如更全面地反映教师教学质量和工作量、提高评价过程的效率、强化教学评价的反馈等）</w:t>
      </w:r>
    </w:p>
    <w:p w14:paraId="0AD3F712">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jc w:val="both"/>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学院认为现有的不同评价方式（如课程材料评价、学生评教、同行评教、督导评教等）应分别在课堂教学质量监控中发挥怎样的作用？</w:t>
      </w:r>
    </w:p>
    <w:p w14:paraId="55F1CB78">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jc w:val="both"/>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学院认为有哪些学校尚未应用的评价方式可被应用于课堂教学质量监控？（如人工智能、外部专家等）</w:t>
      </w:r>
    </w:p>
    <w:p w14:paraId="500ABF0F">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jc w:val="both"/>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学院认为目前试点的课堂教学指标体系应如何改进？</w:t>
      </w:r>
    </w:p>
    <w:p w14:paraId="5FD1D645">
      <w:pPr>
        <w:pStyle w:val="3"/>
        <w:keepNext w:val="0"/>
        <w:keepLines w:val="0"/>
        <w:pageBreakBefore w:val="0"/>
        <w:kinsoku/>
        <w:wordWrap/>
        <w:overflowPunct/>
        <w:topLinePunct w:val="0"/>
        <w:autoSpaceDE/>
        <w:autoSpaceDN/>
        <w:bidi w:val="0"/>
        <w:spacing w:after="0"/>
        <w:ind w:firstLine="560" w:firstLineChars="200"/>
        <w:jc w:val="both"/>
        <w:textAlignment w:val="auto"/>
        <w:rPr>
          <w:rFonts w:hint="eastAsia"/>
          <w:i/>
          <w:iCs/>
          <w:sz w:val="28"/>
          <w:szCs w:val="28"/>
          <w:lang w:val="en-US" w:eastAsia="zh-CN"/>
        </w:rPr>
      </w:pPr>
      <w:r>
        <w:rPr>
          <w:rFonts w:hint="eastAsia"/>
          <w:i/>
          <w:iCs/>
          <w:sz w:val="28"/>
          <w:szCs w:val="28"/>
          <w:lang w:val="en-US" w:eastAsia="zh-CN"/>
        </w:rPr>
        <w:t>目前试点的课堂教学指标体系如下：</w:t>
      </w:r>
    </w:p>
    <w:tbl>
      <w:tblPr>
        <w:tblStyle w:val="6"/>
        <w:tblW w:w="87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1"/>
        <w:gridCol w:w="4683"/>
        <w:gridCol w:w="1635"/>
      </w:tblGrid>
      <w:tr w14:paraId="002CB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421" w:type="dxa"/>
            <w:vAlign w:val="center"/>
          </w:tcPr>
          <w:p w14:paraId="06734A8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eastAsia" w:ascii="仿宋" w:hAnsi="仿宋" w:eastAsia="仿宋" w:cs="仿宋"/>
                <w:b/>
                <w:bCs/>
                <w:color w:val="auto"/>
                <w:sz w:val="28"/>
                <w:szCs w:val="28"/>
                <w:vertAlign w:val="baseline"/>
                <w:lang w:val="en-US" w:eastAsia="zh-CN"/>
              </w:rPr>
            </w:pPr>
            <w:r>
              <w:rPr>
                <w:rFonts w:hint="eastAsia" w:ascii="仿宋" w:hAnsi="仿宋" w:eastAsia="仿宋" w:cs="仿宋"/>
                <w:b/>
                <w:bCs/>
                <w:color w:val="auto"/>
                <w:sz w:val="28"/>
                <w:szCs w:val="28"/>
                <w:vertAlign w:val="baseline"/>
                <w:lang w:val="en-US" w:eastAsia="zh-CN"/>
              </w:rPr>
              <w:t>模块名称</w:t>
            </w:r>
          </w:p>
        </w:tc>
        <w:tc>
          <w:tcPr>
            <w:tcW w:w="4683" w:type="dxa"/>
            <w:vAlign w:val="center"/>
          </w:tcPr>
          <w:p w14:paraId="600F0FC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eastAsia" w:ascii="仿宋" w:hAnsi="仿宋" w:eastAsia="仿宋" w:cs="仿宋"/>
                <w:b/>
                <w:bCs/>
                <w:color w:val="auto"/>
                <w:sz w:val="28"/>
                <w:szCs w:val="28"/>
                <w:vertAlign w:val="baseline"/>
                <w:lang w:val="en-US" w:eastAsia="zh-CN"/>
              </w:rPr>
            </w:pPr>
            <w:r>
              <w:rPr>
                <w:rFonts w:hint="eastAsia" w:ascii="仿宋" w:hAnsi="仿宋" w:eastAsia="仿宋" w:cs="仿宋"/>
                <w:b/>
                <w:bCs/>
                <w:color w:val="auto"/>
                <w:sz w:val="28"/>
                <w:szCs w:val="28"/>
                <w:vertAlign w:val="baseline"/>
                <w:lang w:val="en-US" w:eastAsia="zh-CN"/>
              </w:rPr>
              <w:t>模块内容</w:t>
            </w:r>
          </w:p>
        </w:tc>
        <w:tc>
          <w:tcPr>
            <w:tcW w:w="1635" w:type="dxa"/>
            <w:vAlign w:val="center"/>
          </w:tcPr>
          <w:p w14:paraId="46176E1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eastAsia" w:ascii="仿宋" w:hAnsi="仿宋" w:eastAsia="仿宋" w:cs="仿宋"/>
                <w:b/>
                <w:bCs/>
                <w:color w:val="auto"/>
                <w:sz w:val="28"/>
                <w:szCs w:val="28"/>
                <w:vertAlign w:val="baseline"/>
                <w:lang w:val="en-US" w:eastAsia="zh-CN"/>
              </w:rPr>
            </w:pPr>
            <w:r>
              <w:rPr>
                <w:rFonts w:hint="eastAsia" w:ascii="仿宋" w:hAnsi="仿宋" w:eastAsia="仿宋" w:cs="仿宋"/>
                <w:b/>
                <w:bCs/>
                <w:color w:val="auto"/>
                <w:sz w:val="28"/>
                <w:szCs w:val="28"/>
                <w:vertAlign w:val="baseline"/>
                <w:lang w:val="en-US" w:eastAsia="zh-CN"/>
              </w:rPr>
              <w:t>权重</w:t>
            </w:r>
          </w:p>
        </w:tc>
      </w:tr>
      <w:tr w14:paraId="579E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421" w:type="dxa"/>
            <w:vMerge w:val="restart"/>
            <w:vAlign w:val="center"/>
          </w:tcPr>
          <w:p w14:paraId="7288011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仿宋" w:hAnsi="仿宋" w:eastAsia="仿宋" w:cs="仿宋"/>
                <w:b w:val="0"/>
                <w:bCs w:val="0"/>
                <w:color w:val="auto"/>
                <w:sz w:val="28"/>
                <w:szCs w:val="28"/>
                <w:vertAlign w:val="baseline"/>
                <w:lang w:val="en-US" w:eastAsia="zh-CN"/>
              </w:rPr>
            </w:pPr>
            <w:r>
              <w:rPr>
                <w:rFonts w:hint="eastAsia" w:ascii="仿宋" w:hAnsi="仿宋" w:eastAsia="仿宋" w:cs="仿宋"/>
                <w:b w:val="0"/>
                <w:bCs w:val="0"/>
                <w:color w:val="auto"/>
                <w:sz w:val="28"/>
                <w:szCs w:val="28"/>
                <w:vertAlign w:val="baseline"/>
                <w:lang w:val="en-US" w:eastAsia="zh-CN"/>
              </w:rPr>
              <w:t>课程材料评价</w:t>
            </w:r>
          </w:p>
        </w:tc>
        <w:tc>
          <w:tcPr>
            <w:tcW w:w="4683" w:type="dxa"/>
            <w:vAlign w:val="center"/>
          </w:tcPr>
          <w:p w14:paraId="3938947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仿宋" w:hAnsi="仿宋" w:eastAsia="仿宋" w:cs="仿宋"/>
                <w:b w:val="0"/>
                <w:bCs w:val="0"/>
                <w:color w:val="auto"/>
                <w:sz w:val="28"/>
                <w:szCs w:val="28"/>
                <w:vertAlign w:val="baseline"/>
                <w:lang w:val="en-US" w:eastAsia="zh-CN"/>
              </w:rPr>
            </w:pPr>
            <w:r>
              <w:rPr>
                <w:rFonts w:hint="eastAsia" w:ascii="仿宋" w:hAnsi="仿宋" w:eastAsia="仿宋" w:cs="仿宋"/>
                <w:b w:val="0"/>
                <w:bCs w:val="0"/>
                <w:color w:val="auto"/>
                <w:sz w:val="28"/>
                <w:szCs w:val="28"/>
                <w:vertAlign w:val="baseline"/>
                <w:lang w:val="en-US" w:eastAsia="zh-CN"/>
              </w:rPr>
              <w:t>课程教案</w:t>
            </w:r>
          </w:p>
        </w:tc>
        <w:tc>
          <w:tcPr>
            <w:tcW w:w="1635" w:type="dxa"/>
            <w:vAlign w:val="center"/>
          </w:tcPr>
          <w:p w14:paraId="6F0E54F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仿宋" w:hAnsi="仿宋" w:eastAsia="仿宋" w:cs="仿宋"/>
                <w:b w:val="0"/>
                <w:bCs w:val="0"/>
                <w:color w:val="auto"/>
                <w:sz w:val="28"/>
                <w:szCs w:val="28"/>
                <w:vertAlign w:val="baseline"/>
                <w:lang w:val="en-US" w:eastAsia="zh-CN"/>
              </w:rPr>
            </w:pPr>
            <w:r>
              <w:rPr>
                <w:rFonts w:hint="eastAsia" w:ascii="仿宋" w:hAnsi="仿宋" w:eastAsia="仿宋" w:cs="仿宋"/>
                <w:b w:val="0"/>
                <w:bCs w:val="0"/>
                <w:color w:val="auto"/>
                <w:sz w:val="28"/>
                <w:szCs w:val="28"/>
                <w:vertAlign w:val="baseline"/>
                <w:lang w:val="en-US" w:eastAsia="zh-CN"/>
              </w:rPr>
              <w:t>5%</w:t>
            </w:r>
          </w:p>
        </w:tc>
      </w:tr>
      <w:tr w14:paraId="47CD4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421" w:type="dxa"/>
            <w:vMerge w:val="continue"/>
            <w:vAlign w:val="center"/>
          </w:tcPr>
          <w:p w14:paraId="75FC115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eastAsia" w:ascii="仿宋" w:hAnsi="仿宋" w:eastAsia="仿宋" w:cs="仿宋"/>
                <w:b w:val="0"/>
                <w:bCs w:val="0"/>
                <w:color w:val="auto"/>
                <w:sz w:val="28"/>
                <w:szCs w:val="28"/>
                <w:vertAlign w:val="baseline"/>
                <w:lang w:val="en-US" w:eastAsia="zh-CN"/>
              </w:rPr>
            </w:pPr>
          </w:p>
        </w:tc>
        <w:tc>
          <w:tcPr>
            <w:tcW w:w="4683" w:type="dxa"/>
            <w:vAlign w:val="center"/>
          </w:tcPr>
          <w:p w14:paraId="6D5EB48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仿宋" w:hAnsi="仿宋" w:eastAsia="仿宋" w:cs="仿宋"/>
                <w:b w:val="0"/>
                <w:bCs w:val="0"/>
                <w:color w:val="auto"/>
                <w:sz w:val="28"/>
                <w:szCs w:val="28"/>
                <w:vertAlign w:val="baseline"/>
                <w:lang w:val="en-US" w:eastAsia="zh-CN"/>
              </w:rPr>
            </w:pPr>
            <w:r>
              <w:rPr>
                <w:rFonts w:hint="eastAsia" w:ascii="仿宋" w:hAnsi="仿宋" w:eastAsia="仿宋" w:cs="仿宋"/>
                <w:b w:val="0"/>
                <w:bCs w:val="0"/>
                <w:color w:val="auto"/>
                <w:sz w:val="28"/>
                <w:szCs w:val="28"/>
                <w:vertAlign w:val="baseline"/>
                <w:lang w:val="en-US" w:eastAsia="zh-CN"/>
              </w:rPr>
              <w:t>教学课件</w:t>
            </w:r>
          </w:p>
        </w:tc>
        <w:tc>
          <w:tcPr>
            <w:tcW w:w="1635" w:type="dxa"/>
            <w:vAlign w:val="center"/>
          </w:tcPr>
          <w:p w14:paraId="2B89240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仿宋" w:hAnsi="仿宋" w:eastAsia="仿宋" w:cs="仿宋"/>
                <w:b w:val="0"/>
                <w:bCs w:val="0"/>
                <w:color w:val="auto"/>
                <w:sz w:val="28"/>
                <w:szCs w:val="28"/>
                <w:vertAlign w:val="baseline"/>
                <w:lang w:val="en-US" w:eastAsia="zh-CN"/>
              </w:rPr>
            </w:pPr>
            <w:r>
              <w:rPr>
                <w:rFonts w:hint="eastAsia" w:ascii="仿宋" w:hAnsi="仿宋" w:eastAsia="仿宋" w:cs="仿宋"/>
                <w:b w:val="0"/>
                <w:bCs w:val="0"/>
                <w:color w:val="auto"/>
                <w:sz w:val="28"/>
                <w:szCs w:val="28"/>
                <w:vertAlign w:val="baseline"/>
                <w:lang w:val="en-US" w:eastAsia="zh-CN"/>
              </w:rPr>
              <w:t>5%</w:t>
            </w:r>
          </w:p>
        </w:tc>
      </w:tr>
      <w:tr w14:paraId="1F282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421" w:type="dxa"/>
            <w:vMerge w:val="continue"/>
            <w:vAlign w:val="center"/>
          </w:tcPr>
          <w:p w14:paraId="48C9737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eastAsia" w:ascii="仿宋" w:hAnsi="仿宋" w:eastAsia="仿宋" w:cs="仿宋"/>
                <w:b w:val="0"/>
                <w:bCs w:val="0"/>
                <w:color w:val="auto"/>
                <w:sz w:val="28"/>
                <w:szCs w:val="28"/>
                <w:vertAlign w:val="baseline"/>
                <w:lang w:val="en-US" w:eastAsia="zh-CN"/>
              </w:rPr>
            </w:pPr>
          </w:p>
        </w:tc>
        <w:tc>
          <w:tcPr>
            <w:tcW w:w="4683" w:type="dxa"/>
            <w:vAlign w:val="center"/>
          </w:tcPr>
          <w:p w14:paraId="3194AC1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仿宋" w:hAnsi="仿宋" w:eastAsia="仿宋" w:cs="仿宋"/>
                <w:b w:val="0"/>
                <w:bCs w:val="0"/>
                <w:color w:val="auto"/>
                <w:sz w:val="28"/>
                <w:szCs w:val="28"/>
                <w:vertAlign w:val="baseline"/>
                <w:lang w:val="en-US" w:eastAsia="zh-CN"/>
              </w:rPr>
            </w:pPr>
            <w:r>
              <w:rPr>
                <w:rFonts w:hint="eastAsia" w:ascii="仿宋" w:hAnsi="仿宋" w:eastAsia="仿宋" w:cs="仿宋"/>
                <w:b w:val="0"/>
                <w:bCs w:val="0"/>
                <w:color w:val="auto"/>
                <w:sz w:val="28"/>
                <w:szCs w:val="28"/>
                <w:vertAlign w:val="baseline"/>
                <w:lang w:val="en-US" w:eastAsia="zh-CN"/>
              </w:rPr>
              <w:t>其它（学院自定义）</w:t>
            </w:r>
          </w:p>
        </w:tc>
        <w:tc>
          <w:tcPr>
            <w:tcW w:w="1635" w:type="dxa"/>
            <w:vAlign w:val="center"/>
          </w:tcPr>
          <w:p w14:paraId="348C4EF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eastAsia" w:ascii="仿宋" w:hAnsi="仿宋" w:eastAsia="仿宋" w:cs="仿宋"/>
                <w:b w:val="0"/>
                <w:bCs w:val="0"/>
                <w:color w:val="auto"/>
                <w:sz w:val="28"/>
                <w:szCs w:val="28"/>
                <w:vertAlign w:val="baseline"/>
                <w:lang w:val="en-US" w:eastAsia="zh-CN"/>
              </w:rPr>
            </w:pPr>
            <w:r>
              <w:rPr>
                <w:rFonts w:hint="eastAsia" w:ascii="仿宋" w:hAnsi="仿宋" w:eastAsia="仿宋" w:cs="仿宋"/>
                <w:b w:val="0"/>
                <w:bCs w:val="0"/>
                <w:color w:val="auto"/>
                <w:sz w:val="28"/>
                <w:szCs w:val="28"/>
                <w:vertAlign w:val="baseline"/>
                <w:lang w:val="en-US" w:eastAsia="zh-CN"/>
              </w:rPr>
              <w:t>5%</w:t>
            </w:r>
          </w:p>
        </w:tc>
      </w:tr>
      <w:tr w14:paraId="71A8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421" w:type="dxa"/>
            <w:vAlign w:val="center"/>
          </w:tcPr>
          <w:p w14:paraId="0E64E65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eastAsia" w:ascii="仿宋" w:hAnsi="仿宋" w:eastAsia="仿宋" w:cs="仿宋"/>
                <w:color w:val="auto"/>
                <w:sz w:val="28"/>
                <w:szCs w:val="28"/>
                <w:vertAlign w:val="baseline"/>
                <w:lang w:val="en-US" w:eastAsia="zh-CN"/>
              </w:rPr>
            </w:pPr>
            <w:r>
              <w:rPr>
                <w:rFonts w:hint="eastAsia" w:ascii="仿宋" w:hAnsi="仿宋" w:eastAsia="仿宋" w:cs="仿宋"/>
                <w:color w:val="auto"/>
                <w:sz w:val="28"/>
                <w:szCs w:val="28"/>
                <w:vertAlign w:val="baseline"/>
                <w:lang w:val="en-US" w:eastAsia="zh-CN"/>
              </w:rPr>
              <w:t>同行评教</w:t>
            </w:r>
          </w:p>
        </w:tc>
        <w:tc>
          <w:tcPr>
            <w:tcW w:w="4683" w:type="dxa"/>
            <w:vAlign w:val="center"/>
          </w:tcPr>
          <w:p w14:paraId="533CB75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eastAsia" w:ascii="仿宋" w:hAnsi="仿宋" w:eastAsia="仿宋" w:cs="仿宋"/>
                <w:color w:val="auto"/>
                <w:sz w:val="28"/>
                <w:szCs w:val="28"/>
                <w:vertAlign w:val="baseline"/>
                <w:lang w:val="en-US" w:eastAsia="zh-CN"/>
              </w:rPr>
            </w:pPr>
            <w:r>
              <w:rPr>
                <w:rFonts w:hint="eastAsia" w:ascii="仿宋" w:hAnsi="仿宋" w:eastAsia="仿宋" w:cs="仿宋"/>
                <w:color w:val="auto"/>
                <w:sz w:val="28"/>
                <w:szCs w:val="28"/>
                <w:vertAlign w:val="baseline"/>
                <w:lang w:val="en-US" w:eastAsia="zh-CN"/>
              </w:rPr>
              <w:t>课堂教学情况</w:t>
            </w:r>
          </w:p>
        </w:tc>
        <w:tc>
          <w:tcPr>
            <w:tcW w:w="1635" w:type="dxa"/>
            <w:vAlign w:val="center"/>
          </w:tcPr>
          <w:p w14:paraId="711EFB2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仿宋" w:hAnsi="仿宋" w:eastAsia="仿宋" w:cs="仿宋"/>
                <w:b w:val="0"/>
                <w:bCs w:val="0"/>
                <w:color w:val="auto"/>
                <w:sz w:val="28"/>
                <w:szCs w:val="28"/>
                <w:vertAlign w:val="baseline"/>
                <w:lang w:val="en-US" w:eastAsia="zh-CN"/>
              </w:rPr>
            </w:pPr>
            <w:r>
              <w:rPr>
                <w:rFonts w:hint="eastAsia" w:ascii="仿宋" w:hAnsi="仿宋" w:eastAsia="仿宋" w:cs="仿宋"/>
                <w:b w:val="0"/>
                <w:bCs w:val="0"/>
                <w:color w:val="auto"/>
                <w:sz w:val="28"/>
                <w:szCs w:val="28"/>
                <w:vertAlign w:val="baseline"/>
                <w:lang w:val="en-US" w:eastAsia="zh-CN"/>
              </w:rPr>
              <w:t>5%</w:t>
            </w:r>
          </w:p>
        </w:tc>
      </w:tr>
      <w:tr w14:paraId="66E7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421" w:type="dxa"/>
            <w:vAlign w:val="center"/>
          </w:tcPr>
          <w:p w14:paraId="2AE3D3F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 w:hAnsi="仿宋" w:eastAsia="仿宋" w:cs="仿宋"/>
                <w:color w:val="auto"/>
                <w:kern w:val="2"/>
                <w:sz w:val="28"/>
                <w:szCs w:val="28"/>
                <w:vertAlign w:val="baseline"/>
                <w:lang w:val="en-US" w:eastAsia="zh-CN" w:bidi="ar-SA"/>
              </w:rPr>
            </w:pPr>
            <w:r>
              <w:rPr>
                <w:rFonts w:hint="eastAsia" w:ascii="仿宋" w:hAnsi="仿宋" w:eastAsia="仿宋" w:cs="仿宋"/>
                <w:color w:val="auto"/>
                <w:sz w:val="28"/>
                <w:szCs w:val="28"/>
                <w:vertAlign w:val="baseline"/>
                <w:lang w:val="en-US" w:eastAsia="zh-CN"/>
              </w:rPr>
              <w:t>督导评教</w:t>
            </w:r>
          </w:p>
        </w:tc>
        <w:tc>
          <w:tcPr>
            <w:tcW w:w="4683" w:type="dxa"/>
            <w:vAlign w:val="center"/>
          </w:tcPr>
          <w:p w14:paraId="4014C21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 w:hAnsi="仿宋" w:eastAsia="仿宋" w:cs="仿宋"/>
                <w:color w:val="auto"/>
                <w:kern w:val="2"/>
                <w:sz w:val="28"/>
                <w:szCs w:val="28"/>
                <w:vertAlign w:val="baseline"/>
                <w:lang w:val="en-US" w:eastAsia="zh-CN" w:bidi="ar-SA"/>
              </w:rPr>
            </w:pPr>
            <w:r>
              <w:rPr>
                <w:rFonts w:hint="eastAsia" w:ascii="仿宋" w:hAnsi="仿宋" w:eastAsia="仿宋" w:cs="仿宋"/>
                <w:color w:val="auto"/>
                <w:sz w:val="28"/>
                <w:szCs w:val="28"/>
                <w:vertAlign w:val="baseline"/>
                <w:lang w:val="en-US" w:eastAsia="zh-CN"/>
              </w:rPr>
              <w:t>课堂教学情况</w:t>
            </w:r>
          </w:p>
        </w:tc>
        <w:tc>
          <w:tcPr>
            <w:tcW w:w="1635" w:type="dxa"/>
            <w:vAlign w:val="center"/>
          </w:tcPr>
          <w:p w14:paraId="6911E82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仿宋" w:hAnsi="仿宋" w:eastAsia="仿宋" w:cs="仿宋"/>
                <w:b w:val="0"/>
                <w:bCs w:val="0"/>
                <w:color w:val="auto"/>
                <w:kern w:val="2"/>
                <w:sz w:val="28"/>
                <w:szCs w:val="28"/>
                <w:vertAlign w:val="baseline"/>
                <w:lang w:val="en-US" w:eastAsia="zh-CN" w:bidi="ar-SA"/>
              </w:rPr>
            </w:pPr>
            <w:r>
              <w:rPr>
                <w:rFonts w:hint="eastAsia" w:ascii="仿宋" w:hAnsi="仿宋" w:eastAsia="仿宋" w:cs="仿宋"/>
                <w:b w:val="0"/>
                <w:bCs w:val="0"/>
                <w:color w:val="auto"/>
                <w:sz w:val="28"/>
                <w:szCs w:val="28"/>
                <w:vertAlign w:val="baseline"/>
                <w:lang w:val="en-US" w:eastAsia="zh-CN"/>
              </w:rPr>
              <w:t>10%</w:t>
            </w:r>
          </w:p>
        </w:tc>
      </w:tr>
      <w:tr w14:paraId="33A51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421" w:type="dxa"/>
            <w:vAlign w:val="center"/>
          </w:tcPr>
          <w:p w14:paraId="6012E98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 w:hAnsi="仿宋" w:eastAsia="仿宋" w:cs="仿宋"/>
                <w:color w:val="auto"/>
                <w:sz w:val="28"/>
                <w:szCs w:val="28"/>
                <w:vertAlign w:val="baseline"/>
                <w:lang w:val="en-US" w:eastAsia="zh-CN"/>
              </w:rPr>
            </w:pPr>
            <w:r>
              <w:rPr>
                <w:rFonts w:hint="eastAsia" w:ascii="仿宋" w:hAnsi="仿宋" w:eastAsia="仿宋" w:cs="仿宋"/>
                <w:b w:val="0"/>
                <w:bCs w:val="0"/>
                <w:color w:val="auto"/>
                <w:sz w:val="28"/>
                <w:szCs w:val="28"/>
                <w:vertAlign w:val="baseline"/>
                <w:lang w:val="en-US" w:eastAsia="zh-CN"/>
              </w:rPr>
              <w:t>学生评教</w:t>
            </w:r>
          </w:p>
        </w:tc>
        <w:tc>
          <w:tcPr>
            <w:tcW w:w="4683" w:type="dxa"/>
            <w:vAlign w:val="center"/>
          </w:tcPr>
          <w:p w14:paraId="2519785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 w:hAnsi="仿宋" w:eastAsia="仿宋" w:cs="仿宋"/>
                <w:color w:val="auto"/>
                <w:sz w:val="28"/>
                <w:szCs w:val="28"/>
                <w:vertAlign w:val="baseline"/>
                <w:lang w:val="en-US" w:eastAsia="zh-CN"/>
              </w:rPr>
            </w:pPr>
            <w:r>
              <w:rPr>
                <w:rFonts w:hint="eastAsia" w:ascii="仿宋" w:hAnsi="仿宋" w:eastAsia="仿宋" w:cs="仿宋"/>
                <w:b w:val="0"/>
                <w:bCs w:val="0"/>
                <w:color w:val="auto"/>
                <w:sz w:val="28"/>
                <w:szCs w:val="28"/>
                <w:vertAlign w:val="baseline"/>
                <w:lang w:val="en-US" w:eastAsia="zh-CN"/>
              </w:rPr>
              <w:t>课堂教学情况</w:t>
            </w:r>
          </w:p>
        </w:tc>
        <w:tc>
          <w:tcPr>
            <w:tcW w:w="1635" w:type="dxa"/>
            <w:vAlign w:val="center"/>
          </w:tcPr>
          <w:p w14:paraId="38B9E66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仿宋" w:hAnsi="仿宋" w:eastAsia="仿宋" w:cs="仿宋"/>
                <w:b w:val="0"/>
                <w:bCs w:val="0"/>
                <w:color w:val="auto"/>
                <w:sz w:val="28"/>
                <w:szCs w:val="28"/>
                <w:vertAlign w:val="baseline"/>
                <w:lang w:val="en-US" w:eastAsia="zh-CN"/>
              </w:rPr>
            </w:pPr>
            <w:r>
              <w:rPr>
                <w:rFonts w:hint="eastAsia" w:ascii="仿宋" w:hAnsi="仿宋" w:eastAsia="仿宋" w:cs="仿宋"/>
                <w:b w:val="0"/>
                <w:bCs w:val="0"/>
                <w:color w:val="auto"/>
                <w:sz w:val="28"/>
                <w:szCs w:val="28"/>
                <w:vertAlign w:val="baseline"/>
                <w:lang w:val="en-US" w:eastAsia="zh-CN"/>
              </w:rPr>
              <w:t>70%</w:t>
            </w:r>
          </w:p>
        </w:tc>
      </w:tr>
    </w:tbl>
    <w:p w14:paraId="3A516C8A">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除上述指标体系提及的模块外，学院认为还有哪些内容或数据应被纳入课堂教学评价指标体系？（如线上教学数据、到课率等）</w:t>
      </w:r>
    </w:p>
    <w:p w14:paraId="4438960C">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学院教师层面需要什么类型的课堂教学评价数据或数据分析，从而更好地开展教学反思、改进课程教学、帮助各类项目申报？</w:t>
      </w:r>
    </w:p>
    <w:p w14:paraId="67BAE7EB">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学院层面需要什么类型的课堂教学评价的数据或数据分析，从而更好地了解教师教学质量、帮助教师改进教学、帮助各类项目申报？</w:t>
      </w:r>
    </w:p>
    <w:p w14:paraId="6B6A928D">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除上述问题外，学院还有哪些需要反馈的意见？</w:t>
      </w:r>
    </w:p>
    <w:p w14:paraId="73B6700B">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36"/>
          <w:lang w:val="en-US" w:eastAsia="zh-CN"/>
        </w:rPr>
      </w:pPr>
    </w:p>
    <w:p w14:paraId="0A92A568">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36"/>
          <w:szCs w:val="44"/>
          <w:lang w:val="en-US" w:eastAsia="zh-CN"/>
        </w:rPr>
      </w:pPr>
      <w:r>
        <w:rPr>
          <w:rFonts w:hint="eastAsia" w:ascii="仿宋" w:hAnsi="仿宋" w:eastAsia="仿宋" w:cs="仿宋"/>
          <w:sz w:val="28"/>
          <w:szCs w:val="36"/>
          <w:lang w:val="en-US" w:eastAsia="zh-CN"/>
        </w:rPr>
        <w:t>请学院广泛征集意见并对意见进行梳理，由分管教学领导总结反馈。反馈内容应全面、具体，条理清晰。请于2025年3月20日17:00前将反馈结果电子版发送至质量办李阳雪，并将纸质版（盖章）提交至行政楼B201质量办。各学院的宝贵意见将对改革的顺利实施和课堂教学质量的提升起到重要作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514002"/>
    <w:multiLevelType w:val="singleLevel"/>
    <w:tmpl w:val="A251400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9073A6"/>
    <w:rsid w:val="079073A6"/>
    <w:rsid w:val="12FA11B0"/>
    <w:rsid w:val="257E3D04"/>
    <w:rsid w:val="29120A0E"/>
    <w:rsid w:val="44B30635"/>
    <w:rsid w:val="49AC6958"/>
    <w:rsid w:val="4E2C269A"/>
    <w:rsid w:val="4F7A3E34"/>
    <w:rsid w:val="62453E65"/>
    <w:rsid w:val="63BB4A2A"/>
    <w:rsid w:val="64DB22A4"/>
    <w:rsid w:val="6A1E28B4"/>
    <w:rsid w:val="6DA54DB1"/>
    <w:rsid w:val="77025CCC"/>
    <w:rsid w:val="788616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1"/>
    <w:qFormat/>
    <w:uiPriority w:val="0"/>
    <w:pPr>
      <w:widowControl/>
      <w:spacing w:after="140" w:line="276" w:lineRule="auto"/>
      <w:jc w:val="left"/>
    </w:pPr>
    <w:rPr>
      <w:rFonts w:ascii="Times New Roman" w:hAnsi="Times New Roman"/>
      <w:kern w:val="0"/>
      <w:sz w:val="24"/>
    </w:rPr>
  </w:style>
  <w:style w:type="paragraph" w:styleId="4">
    <w:name w:val="footnote text"/>
    <w:basedOn w:val="1"/>
    <w:qFormat/>
    <w:uiPriority w:val="0"/>
    <w:pPr>
      <w:snapToGrid w:val="0"/>
      <w:jc w:val="left"/>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footnote reference"/>
    <w:basedOn w:val="7"/>
    <w:qFormat/>
    <w:uiPriority w:val="0"/>
    <w:rPr>
      <w:vertAlign w:val="superscript"/>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756</Words>
  <Characters>775</Characters>
  <Lines>0</Lines>
  <Paragraphs>0</Paragraphs>
  <TotalTime>19</TotalTime>
  <ScaleCrop>false</ScaleCrop>
  <LinksUpToDate>false</LinksUpToDate>
  <CharactersWithSpaces>775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2025-02-18T02:42:00Z</dcterms:created>
  <dc:creator>李阳雪</dc:creator>
  <cp:lastModifiedBy>李阳雪</cp:lastModifiedBy>
  <cp:lastPrinted>2025-02-26T02:13:00Z</cp:lastPrinted>
  <dcterms:modified xsi:type="dcterms:W3CDTF">2025-03-06T07:43:37Z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53A891D605B6441EA75755DDC2B4ED4D_13</vt:lpwstr>
  </property>
  <property fmtid="{D5CDD505-2E9C-101B-9397-08002B2CF9AE}" pid="4" name="KSOTemplateDocerSaveRecord">
    <vt:lpwstr>eyJoZGlkIjoiMjJkYjY4ZDVkMTdlY2Q4Nzk2ZjhiMGQzZDZiOGZhZjMiLCJ1c2VySWQiOiIyNDQ3MzUxNTYifQ==</vt:lpwstr>
  </property>
</Properties>
</file>