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E0C1D">
      <w:pPr>
        <w:pStyle w:val="2"/>
        <w:spacing w:before="239" w:line="222" w:lineRule="auto"/>
        <w:rPr>
          <w:rFonts w:hint="eastAsia" w:ascii="黑体" w:hAnsi="黑体" w:eastAsia="黑体" w:cs="黑体"/>
          <w:spacing w:val="0"/>
          <w:sz w:val="30"/>
          <w:szCs w:val="30"/>
        </w:rPr>
      </w:pPr>
      <w:r>
        <w:rPr>
          <w:rFonts w:hint="eastAsia" w:ascii="黑体" w:hAnsi="黑体" w:eastAsia="黑体" w:cs="黑体"/>
          <w:spacing w:val="0"/>
          <w:sz w:val="30"/>
          <w:szCs w:val="30"/>
        </w:rPr>
        <w:t>附件4</w:t>
      </w:r>
    </w:p>
    <w:p w14:paraId="7B6D9C2B">
      <w:pPr>
        <w:spacing w:line="375" w:lineRule="auto"/>
        <w:rPr>
          <w:rFonts w:ascii="Arial"/>
          <w:sz w:val="21"/>
        </w:rPr>
      </w:pPr>
    </w:p>
    <w:p w14:paraId="65EBA2A1">
      <w:pPr>
        <w:spacing w:before="143" w:line="219" w:lineRule="auto"/>
        <w:ind w:left="2185"/>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产教融合赛道实施方案</w:t>
      </w:r>
    </w:p>
    <w:p w14:paraId="320B325C">
      <w:pPr>
        <w:keepNext w:val="0"/>
        <w:keepLines w:val="0"/>
        <w:pageBreakBefore w:val="0"/>
        <w:widowControl/>
        <w:overflowPunct/>
        <w:bidi w:val="0"/>
        <w:adjustRightInd w:val="0"/>
        <w:snapToGrid w:val="0"/>
        <w:spacing w:line="360" w:lineRule="auto"/>
        <w:textAlignment w:val="baseline"/>
        <w:rPr>
          <w:rFonts w:ascii="Arial"/>
          <w:sz w:val="21"/>
        </w:rPr>
      </w:pPr>
    </w:p>
    <w:p w14:paraId="57F3B298">
      <w:pPr>
        <w:keepNext w:val="0"/>
        <w:keepLines w:val="0"/>
        <w:pageBreakBefore w:val="0"/>
        <w:widowControl/>
        <w:overflowPunct/>
        <w:bidi w:val="0"/>
        <w:adjustRightInd w:val="0"/>
        <w:snapToGrid w:val="0"/>
        <w:spacing w:line="360" w:lineRule="auto"/>
        <w:textAlignment w:val="baseline"/>
        <w:rPr>
          <w:rFonts w:ascii="Arial"/>
          <w:sz w:val="21"/>
        </w:rPr>
      </w:pPr>
    </w:p>
    <w:p w14:paraId="25C80E6B">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一、参赛要求</w:t>
      </w:r>
    </w:p>
    <w:p w14:paraId="77D5E271">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本赛道须以团队形式参赛，团队成员</w:t>
      </w:r>
      <w:r>
        <w:rPr>
          <w:rFonts w:hint="eastAsia" w:ascii="Times New Roman" w:hAnsi="Times New Roman" w:cs="Times New Roman"/>
          <w:spacing w:val="0"/>
          <w:sz w:val="32"/>
          <w:szCs w:val="32"/>
          <w:lang w:val="en-US" w:eastAsia="zh-CN"/>
        </w:rPr>
        <w:t>包含至少</w:t>
      </w:r>
      <w:r>
        <w:rPr>
          <w:rFonts w:ascii="Times New Roman" w:hAnsi="Times New Roman" w:eastAsia="仿宋" w:cs="Times New Roman"/>
          <w:spacing w:val="0"/>
          <w:sz w:val="32"/>
          <w:szCs w:val="32"/>
        </w:rPr>
        <w:t>1名从行业企业聘请的兼职教师，且深度参与教育教学时间须达到2 年及以上。</w:t>
      </w:r>
    </w:p>
    <w:p w14:paraId="0EBF146F">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黑体" w:hAnsi="黑体" w:eastAsia="黑体" w:cs="黑体"/>
          <w:spacing w:val="0"/>
          <w:sz w:val="32"/>
          <w:szCs w:val="32"/>
        </w:rPr>
        <w:t>二、材料要求</w:t>
      </w:r>
    </w:p>
    <w:p w14:paraId="6C58E7B9">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hint="eastAsia" w:ascii="楷体" w:hAnsi="楷体" w:eastAsia="楷体" w:cs="楷体"/>
          <w:spacing w:val="0"/>
          <w:sz w:val="32"/>
          <w:szCs w:val="32"/>
        </w:rPr>
      </w:pPr>
      <w:r>
        <w:rPr>
          <w:rFonts w:hint="eastAsia" w:ascii="楷体" w:hAnsi="楷体" w:eastAsia="楷体" w:cs="楷体"/>
          <w:spacing w:val="0"/>
          <w:sz w:val="32"/>
          <w:szCs w:val="32"/>
          <w:lang w:eastAsia="zh-CN"/>
        </w:rPr>
        <w:t>（</w:t>
      </w:r>
      <w:r>
        <w:rPr>
          <w:rFonts w:hint="eastAsia" w:ascii="楷体" w:hAnsi="楷体" w:eastAsia="楷体" w:cs="楷体"/>
          <w:spacing w:val="0"/>
          <w:sz w:val="32"/>
          <w:szCs w:val="32"/>
        </w:rPr>
        <w:t>一</w:t>
      </w:r>
      <w:r>
        <w:rPr>
          <w:rFonts w:hint="eastAsia" w:ascii="楷体" w:hAnsi="楷体" w:eastAsia="楷体" w:cs="楷体"/>
          <w:spacing w:val="0"/>
          <w:sz w:val="32"/>
          <w:szCs w:val="32"/>
          <w:lang w:eastAsia="zh-CN"/>
        </w:rPr>
        <w:t>）</w:t>
      </w:r>
      <w:r>
        <w:rPr>
          <w:rFonts w:hint="eastAsia" w:ascii="楷体" w:hAnsi="楷体" w:eastAsia="楷体" w:cs="楷体"/>
          <w:spacing w:val="0"/>
          <w:sz w:val="32"/>
          <w:szCs w:val="32"/>
        </w:rPr>
        <w:t>申报书</w:t>
      </w:r>
    </w:p>
    <w:p w14:paraId="7AB18031">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Times New Roman" w:hAnsi="Times New Roman" w:eastAsia="仿宋" w:cs="Times New Roman"/>
          <w:spacing w:val="0"/>
          <w:sz w:val="32"/>
          <w:szCs w:val="32"/>
        </w:rPr>
        <w:t>参赛教师通过校赛平台填写，填写后原则上不得修改</w:t>
      </w:r>
      <w:r>
        <w:rPr>
          <w:rFonts w:ascii="Times New Roman" w:hAnsi="Times New Roman" w:eastAsia="仿宋" w:cs="Times New Roman"/>
          <w:spacing w:val="0"/>
          <w:sz w:val="32"/>
          <w:szCs w:val="32"/>
        </w:rPr>
        <w:t>。</w:t>
      </w:r>
    </w:p>
    <w:p w14:paraId="48A2A6C1">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hint="eastAsia" w:ascii="楷体" w:hAnsi="楷体" w:eastAsia="楷体" w:cs="楷体"/>
          <w:spacing w:val="0"/>
          <w:sz w:val="32"/>
          <w:szCs w:val="32"/>
          <w:lang w:eastAsia="zh-CN"/>
        </w:rPr>
      </w:pPr>
      <w:r>
        <w:rPr>
          <w:rFonts w:hint="eastAsia" w:ascii="楷体" w:hAnsi="楷体" w:eastAsia="楷体" w:cs="楷体"/>
          <w:spacing w:val="0"/>
          <w:sz w:val="32"/>
          <w:szCs w:val="32"/>
          <w:lang w:eastAsia="zh-CN"/>
        </w:rPr>
        <w:t>（二）产教融合创新成果报告</w:t>
      </w:r>
    </w:p>
    <w:p w14:paraId="60AAC3B8">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产教融合创新成果报告应密切围绕高校与社会或行业企业主动合作、人才培养规格与产业需求、学科专业结构与区域发展、组织模式创新与教学模式改革等产教融合方面的内容，以教学研究的范式，聚焦教学实践中的真实问题，通过课程内容的重构、教学方法的创新、教学环境的创设、教学评价的改革、师资队伍的建设、协同办学的机制等，解决 教学问题，明确教学成效及其推广价值。</w:t>
      </w:r>
    </w:p>
    <w:p w14:paraId="7012FE47">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hint="eastAsia" w:ascii="楷体" w:hAnsi="楷体" w:eastAsia="楷体" w:cs="楷体"/>
          <w:spacing w:val="0"/>
          <w:sz w:val="32"/>
          <w:szCs w:val="32"/>
          <w:lang w:eastAsia="zh-CN"/>
        </w:rPr>
        <w:t>（三）课堂教学实录视频及相关材料</w:t>
      </w:r>
    </w:p>
    <w:p w14:paraId="4E88F858">
      <w:pPr>
        <w:keepNext w:val="0"/>
        <w:keepLines w:val="0"/>
        <w:pageBreakBefore w:val="0"/>
        <w:widowControl/>
        <w:kinsoku/>
        <w:wordWrap w:val="0"/>
        <w:overflowPunct/>
        <w:topLinePunct/>
        <w:autoSpaceDE/>
        <w:autoSpaceDN/>
        <w:bidi w:val="0"/>
        <w:adjustRightInd w:val="0"/>
        <w:snapToGrid w:val="0"/>
        <w:spacing w:line="360" w:lineRule="auto"/>
        <w:ind w:right="0" w:firstLine="640" w:firstLineChars="200"/>
        <w:jc w:val="both"/>
        <w:textAlignment w:val="baseline"/>
        <w:outlineLvl w:val="2"/>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课堂教学实录视频为参赛课程中</w:t>
      </w:r>
      <w:r>
        <w:rPr>
          <w:rFonts w:hint="eastAsia" w:ascii="Times New Roman" w:hAnsi="Times New Roman" w:eastAsia="仿宋" w:cs="Times New Roman"/>
          <w:spacing w:val="0"/>
          <w:sz w:val="32"/>
          <w:szCs w:val="32"/>
          <w:lang w:val="en-US" w:eastAsia="zh-CN"/>
        </w:rPr>
        <w:t>一</w:t>
      </w:r>
      <w:r>
        <w:rPr>
          <w:rFonts w:ascii="Times New Roman" w:hAnsi="Times New Roman" w:eastAsia="仿宋" w:cs="Times New Roman"/>
          <w:spacing w:val="0"/>
          <w:sz w:val="32"/>
          <w:szCs w:val="32"/>
        </w:rPr>
        <w:t>个1学时的完整教学实录，视频时长为40-50分钟，需包含理论和实践教学内容。视频需全程连续录制。</w:t>
      </w:r>
    </w:p>
    <w:p w14:paraId="193ECAEE">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hint="eastAsia" w:ascii="楷体" w:hAnsi="楷体" w:eastAsia="楷体" w:cs="楷体"/>
          <w:spacing w:val="0"/>
          <w:sz w:val="32"/>
          <w:szCs w:val="32"/>
          <w:lang w:eastAsia="zh-CN"/>
        </w:rPr>
      </w:pPr>
      <w:r>
        <w:rPr>
          <w:rFonts w:hint="eastAsia" w:ascii="楷体" w:hAnsi="楷体" w:eastAsia="楷体" w:cs="楷体"/>
          <w:spacing w:val="0"/>
          <w:sz w:val="32"/>
          <w:szCs w:val="32"/>
          <w:lang w:eastAsia="zh-CN"/>
        </w:rPr>
        <w:t>（四）附加证明材料</w:t>
      </w:r>
    </w:p>
    <w:p w14:paraId="2220B0B8">
      <w:pPr>
        <w:pStyle w:val="2"/>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ascii="Times New Roman" w:hAnsi="Times New Roman" w:eastAsia="仿宋" w:cs="Times New Roman"/>
          <w:spacing w:val="0"/>
          <w:sz w:val="32"/>
          <w:szCs w:val="32"/>
        </w:rPr>
      </w:pPr>
      <w:r>
        <w:rPr>
          <w:rFonts w:ascii="Times New Roman" w:hAnsi="Times New Roman" w:eastAsia="仿宋" w:cs="Times New Roman"/>
          <w:spacing w:val="0"/>
          <w:sz w:val="32"/>
          <w:szCs w:val="32"/>
        </w:rPr>
        <w:t>本赛道参赛课程需提供实践性教学学时占课程总学时比例不少于30%的相关证明；行业企业参与参赛课程教学的相关证明，包括但不限于与参赛课程相关的人事聘任协议、 产教融合项目合同、协同育人项目、产业学院等，签订时间在2年及以上。</w:t>
      </w:r>
    </w:p>
    <w:p w14:paraId="455B3506">
      <w:pPr>
        <w:keepNext w:val="0"/>
        <w:keepLines w:val="0"/>
        <w:pageBreakBefore w:val="0"/>
        <w:widowControl/>
        <w:kinsoku/>
        <w:wordWrap w:val="0"/>
        <w:overflowPunct/>
        <w:topLinePunct/>
        <w:autoSpaceDE/>
        <w:autoSpaceDN/>
        <w:bidi w:val="0"/>
        <w:adjustRightInd w:val="0"/>
        <w:snapToGrid w:val="0"/>
        <w:spacing w:line="360" w:lineRule="auto"/>
        <w:ind w:left="0" w:right="0"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三 、评分标准</w:t>
      </w:r>
    </w:p>
    <w:p w14:paraId="077B18C2">
      <w:pPr>
        <w:keepNext w:val="0"/>
        <w:keepLines w:val="0"/>
        <w:pageBreakBefore w:val="0"/>
        <w:widowControl/>
        <w:kinsoku/>
        <w:wordWrap w:val="0"/>
        <w:overflowPunct/>
        <w:topLinePunct/>
        <w:autoSpaceDE/>
        <w:autoSpaceDN/>
        <w:bidi w:val="0"/>
        <w:adjustRightInd w:val="0"/>
        <w:snapToGrid w:val="0"/>
        <w:spacing w:before="0" w:after="0" w:line="360" w:lineRule="auto"/>
        <w:ind w:left="0" w:right="0" w:firstLine="640" w:firstLineChars="200"/>
        <w:jc w:val="both"/>
        <w:textAlignment w:val="baseline"/>
        <w:rPr>
          <w:rFonts w:hint="eastAsia" w:ascii="黑体" w:hAnsi="黑体" w:eastAsia="黑体" w:cs="黑体"/>
          <w:spacing w:val="0"/>
          <w:sz w:val="32"/>
          <w:szCs w:val="32"/>
          <w:lang w:eastAsia="zh-CN"/>
        </w:rPr>
      </w:pPr>
      <w:r>
        <w:rPr>
          <w:rFonts w:hint="eastAsia" w:ascii="黑体" w:hAnsi="黑体" w:eastAsia="黑体" w:cs="黑体"/>
          <w:spacing w:val="0"/>
          <w:sz w:val="32"/>
          <w:szCs w:val="32"/>
          <w:lang w:eastAsia="zh-CN"/>
        </w:rPr>
        <w:t>(一)课堂教学实录视频(40分)</w:t>
      </w:r>
    </w:p>
    <w:tbl>
      <w:tblPr>
        <w:tblStyle w:val="6"/>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3"/>
        <w:gridCol w:w="7257"/>
        <w:gridCol w:w="908"/>
      </w:tblGrid>
      <w:tr w14:paraId="02035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73" w:type="dxa"/>
            <w:vAlign w:val="center"/>
          </w:tcPr>
          <w:p w14:paraId="51CE6A15">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eastAsia" w:ascii="黑体" w:hAnsi="黑体" w:eastAsia="黑体" w:cs="黑体"/>
                <w:b w:val="0"/>
                <w:bCs w:val="0"/>
                <w:spacing w:val="0"/>
                <w:sz w:val="28"/>
                <w:szCs w:val="28"/>
              </w:rPr>
            </w:pPr>
            <w:r>
              <w:rPr>
                <w:rFonts w:hint="eastAsia" w:ascii="黑体" w:hAnsi="黑体" w:eastAsia="黑体" w:cs="黑体"/>
                <w:b w:val="0"/>
                <w:bCs w:val="0"/>
                <w:spacing w:val="0"/>
                <w:sz w:val="28"/>
                <w:szCs w:val="28"/>
              </w:rPr>
              <w:t>评价维度</w:t>
            </w:r>
          </w:p>
        </w:tc>
        <w:tc>
          <w:tcPr>
            <w:tcW w:w="7257" w:type="dxa"/>
            <w:vAlign w:val="center"/>
          </w:tcPr>
          <w:p w14:paraId="0572A459">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eastAsia" w:ascii="黑体" w:hAnsi="黑体" w:eastAsia="黑体" w:cs="黑体"/>
                <w:b w:val="0"/>
                <w:bCs w:val="0"/>
                <w:spacing w:val="0"/>
                <w:sz w:val="28"/>
                <w:szCs w:val="28"/>
              </w:rPr>
            </w:pPr>
            <w:r>
              <w:rPr>
                <w:rFonts w:hint="eastAsia" w:ascii="黑体" w:hAnsi="黑体" w:eastAsia="黑体" w:cs="黑体"/>
                <w:b w:val="0"/>
                <w:bCs w:val="0"/>
                <w:spacing w:val="0"/>
                <w:sz w:val="28"/>
                <w:szCs w:val="28"/>
              </w:rPr>
              <w:t>评价要点</w:t>
            </w:r>
          </w:p>
        </w:tc>
        <w:tc>
          <w:tcPr>
            <w:tcW w:w="908" w:type="dxa"/>
            <w:vAlign w:val="center"/>
          </w:tcPr>
          <w:p w14:paraId="6ED59177">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eastAsia" w:ascii="黑体" w:hAnsi="黑体" w:eastAsia="黑体" w:cs="黑体"/>
                <w:b w:val="0"/>
                <w:bCs w:val="0"/>
                <w:spacing w:val="0"/>
                <w:sz w:val="28"/>
                <w:szCs w:val="28"/>
                <w:lang w:val="en-US" w:eastAsia="zh-CN"/>
              </w:rPr>
            </w:pPr>
            <w:r>
              <w:rPr>
                <w:rFonts w:hint="eastAsia" w:ascii="黑体" w:hAnsi="黑体" w:eastAsia="黑体" w:cs="黑体"/>
                <w:b w:val="0"/>
                <w:bCs w:val="0"/>
                <w:spacing w:val="0"/>
                <w:sz w:val="28"/>
                <w:szCs w:val="28"/>
                <w:lang w:val="en-US" w:eastAsia="zh-CN"/>
              </w:rPr>
              <w:t>分值</w:t>
            </w:r>
          </w:p>
        </w:tc>
      </w:tr>
      <w:tr w14:paraId="7AECC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jc w:val="center"/>
        </w:trPr>
        <w:tc>
          <w:tcPr>
            <w:tcW w:w="1473" w:type="dxa"/>
            <w:vAlign w:val="center"/>
          </w:tcPr>
          <w:p w14:paraId="17AEF355">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教学理念</w:t>
            </w:r>
          </w:p>
        </w:tc>
        <w:tc>
          <w:tcPr>
            <w:tcW w:w="7257" w:type="dxa"/>
            <w:vAlign w:val="center"/>
          </w:tcPr>
          <w:p w14:paraId="0327ACE4">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体现</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以学生为中心</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教育理念，符合专业特色与课程要求；在深化产教融合中推进教育教学创新，提高人才培养的质量，服务区域经济社会发展，促进教育链、人才链与产业链、创新链有机衔接。</w:t>
            </w:r>
          </w:p>
        </w:tc>
        <w:tc>
          <w:tcPr>
            <w:tcW w:w="908" w:type="dxa"/>
            <w:vAlign w:val="center"/>
          </w:tcPr>
          <w:p w14:paraId="62F274F4">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4分</w:t>
            </w:r>
          </w:p>
        </w:tc>
      </w:tr>
      <w:tr w14:paraId="7AA5B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1473" w:type="dxa"/>
            <w:vMerge w:val="restart"/>
            <w:tcBorders>
              <w:bottom w:val="nil"/>
            </w:tcBorders>
            <w:vAlign w:val="center"/>
          </w:tcPr>
          <w:p w14:paraId="527465A5">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教学内容</w:t>
            </w:r>
          </w:p>
        </w:tc>
        <w:tc>
          <w:tcPr>
            <w:tcW w:w="7257" w:type="dxa"/>
            <w:vAlign w:val="center"/>
          </w:tcPr>
          <w:p w14:paraId="48B8CD68">
            <w:pPr>
              <w:pStyle w:val="7"/>
              <w:keepNext w:val="0"/>
              <w:keepLines w:val="0"/>
              <w:pageBreakBefore w:val="0"/>
              <w:widowControl/>
              <w:kinsoku/>
              <w:wordWrap/>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深挖课程思政元素，有机融入课程教学，实现</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润物无声</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的课程思政教育。</w:t>
            </w:r>
          </w:p>
        </w:tc>
        <w:tc>
          <w:tcPr>
            <w:tcW w:w="908" w:type="dxa"/>
            <w:vMerge w:val="restart"/>
            <w:vAlign w:val="center"/>
          </w:tcPr>
          <w:p w14:paraId="3D9F0766">
            <w:pPr>
              <w:pStyle w:val="7"/>
              <w:keepNext w:val="0"/>
              <w:keepLines w:val="0"/>
              <w:pageBreakBefore w:val="0"/>
              <w:widowControl/>
              <w:kinsoku/>
              <w:wordWrap/>
              <w:overflowPunct/>
              <w:topLinePunct/>
              <w:autoSpaceDE/>
              <w:autoSpaceDN/>
              <w:bidi w:val="0"/>
              <w:adjustRightInd w:val="0"/>
              <w:snapToGrid w:val="0"/>
              <w:spacing w:line="240" w:lineRule="auto"/>
              <w:ind w:left="0" w:firstLine="0"/>
              <w:jc w:val="center"/>
              <w:textAlignment w:val="baseline"/>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12分</w:t>
            </w:r>
          </w:p>
        </w:tc>
      </w:tr>
      <w:tr w14:paraId="63E4A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jc w:val="center"/>
        </w:trPr>
        <w:tc>
          <w:tcPr>
            <w:tcW w:w="1473" w:type="dxa"/>
            <w:vMerge w:val="continue"/>
            <w:tcBorders>
              <w:top w:val="nil"/>
              <w:bottom w:val="nil"/>
            </w:tcBorders>
            <w:vAlign w:val="center"/>
          </w:tcPr>
          <w:p w14:paraId="70E7D5C9">
            <w:pPr>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4FECA20F">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将教学内容与行业企业、实务部门等实际工作和需求以及国家产业政策、国内外产业发展的基础走向和价值导向紧密融合，将生产现场转化为教学课堂，将 政产学研的创新理念、机制体制和重大科研成果转化为课程教学案例，体现高阶性、创新性与挑战度。</w:t>
            </w:r>
          </w:p>
        </w:tc>
        <w:tc>
          <w:tcPr>
            <w:tcW w:w="908" w:type="dxa"/>
            <w:vMerge w:val="continue"/>
            <w:vAlign w:val="center"/>
          </w:tcPr>
          <w:p w14:paraId="6292CFA4">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r>
      <w:tr w14:paraId="48B49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jc w:val="center"/>
        </w:trPr>
        <w:tc>
          <w:tcPr>
            <w:tcW w:w="1473" w:type="dxa"/>
            <w:vMerge w:val="continue"/>
            <w:tcBorders>
              <w:top w:val="nil"/>
            </w:tcBorders>
            <w:vAlign w:val="center"/>
          </w:tcPr>
          <w:p w14:paraId="76DAA277">
            <w:pPr>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67374972">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教学资源储备丰富，行业企业深度参与课程建设和教材编写，包括但不限于共 建校企联合实</w:t>
            </w:r>
            <w:r>
              <w:rPr>
                <w:rFonts w:ascii="Times New Roman" w:hAnsi="Times New Roman" w:eastAsia="仿宋" w:cs="Times New Roman"/>
                <w:b w:val="0"/>
                <w:bCs w:val="0"/>
                <w:color w:val="301020"/>
                <w:spacing w:val="0"/>
                <w:sz w:val="24"/>
                <w:szCs w:val="24"/>
              </w:rPr>
              <w:t>验</w:t>
            </w:r>
            <w:r>
              <w:rPr>
                <w:rFonts w:ascii="Times New Roman" w:hAnsi="Times New Roman" w:eastAsia="仿宋" w:cs="Times New Roman"/>
                <w:b w:val="0"/>
                <w:bCs w:val="0"/>
                <w:spacing w:val="0"/>
                <w:sz w:val="24"/>
                <w:szCs w:val="24"/>
              </w:rPr>
              <w:t>室、共建实习实践基地、联合开发课程、共同编写教材等，注 重将行业企业发展最新前沿成果融入教学内容。</w:t>
            </w:r>
          </w:p>
        </w:tc>
        <w:tc>
          <w:tcPr>
            <w:tcW w:w="908" w:type="dxa"/>
            <w:vMerge w:val="continue"/>
            <w:vAlign w:val="center"/>
          </w:tcPr>
          <w:p w14:paraId="6BDBE70A">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r>
      <w:tr w14:paraId="3557A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jc w:val="center"/>
        </w:trPr>
        <w:tc>
          <w:tcPr>
            <w:tcW w:w="1473" w:type="dxa"/>
            <w:vMerge w:val="restart"/>
            <w:tcBorders>
              <w:bottom w:val="nil"/>
            </w:tcBorders>
            <w:vAlign w:val="center"/>
          </w:tcPr>
          <w:p w14:paraId="2751C6E9">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教学过程</w:t>
            </w:r>
          </w:p>
        </w:tc>
        <w:tc>
          <w:tcPr>
            <w:tcW w:w="7257" w:type="dxa"/>
            <w:vAlign w:val="center"/>
          </w:tcPr>
          <w:p w14:paraId="6CF25BBD">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体现教师主导、学生主体、行业企业参与，聘请行业企业优秀专业技术人才、管理人才和高技能人才等参与教学。</w:t>
            </w:r>
          </w:p>
        </w:tc>
        <w:tc>
          <w:tcPr>
            <w:tcW w:w="908" w:type="dxa"/>
            <w:vMerge w:val="restart"/>
            <w:vAlign w:val="center"/>
          </w:tcPr>
          <w:p w14:paraId="67B42125">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12分</w:t>
            </w:r>
          </w:p>
        </w:tc>
      </w:tr>
      <w:tr w14:paraId="5EFA0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jc w:val="center"/>
        </w:trPr>
        <w:tc>
          <w:tcPr>
            <w:tcW w:w="1473" w:type="dxa"/>
            <w:vMerge w:val="continue"/>
            <w:tcBorders>
              <w:top w:val="nil"/>
              <w:bottom w:val="nil"/>
            </w:tcBorders>
            <w:vAlign w:val="center"/>
          </w:tcPr>
          <w:p w14:paraId="31D1EB81">
            <w:pPr>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78607F5C">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以解决社会和行业企业实际问题为导向，充分利用产教融合校企合作平台，采用项目式、任务式等方式方法，将专业知识与生产过程和行业标准等相对接，启发学生思考，培养学生在真实生产环境中解决复杂问题的能力。</w:t>
            </w:r>
          </w:p>
        </w:tc>
        <w:tc>
          <w:tcPr>
            <w:tcW w:w="908" w:type="dxa"/>
            <w:vMerge w:val="continue"/>
            <w:vAlign w:val="center"/>
          </w:tcPr>
          <w:p w14:paraId="252E795E">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r>
      <w:tr w14:paraId="200D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jc w:val="center"/>
        </w:trPr>
        <w:tc>
          <w:tcPr>
            <w:tcW w:w="1473" w:type="dxa"/>
            <w:vMerge w:val="continue"/>
            <w:tcBorders>
              <w:top w:val="nil"/>
            </w:tcBorders>
            <w:vAlign w:val="center"/>
          </w:tcPr>
          <w:p w14:paraId="50BE3C43">
            <w:pPr>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761C185B">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产学合作开发数字资源，将数字产业化和产业数字化作为基本教学线索，深化数字化技术在教学场景和评价中的应用。</w:t>
            </w:r>
          </w:p>
        </w:tc>
        <w:tc>
          <w:tcPr>
            <w:tcW w:w="908" w:type="dxa"/>
            <w:vMerge w:val="continue"/>
            <w:vAlign w:val="center"/>
          </w:tcPr>
          <w:p w14:paraId="1EEB0D1B">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r>
      <w:tr w14:paraId="014F3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jc w:val="center"/>
        </w:trPr>
        <w:tc>
          <w:tcPr>
            <w:tcW w:w="1473" w:type="dxa"/>
            <w:vMerge w:val="restart"/>
            <w:vAlign w:val="center"/>
          </w:tcPr>
          <w:p w14:paraId="538E5E00">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教学效果</w:t>
            </w:r>
          </w:p>
        </w:tc>
        <w:tc>
          <w:tcPr>
            <w:tcW w:w="7257" w:type="dxa"/>
            <w:vAlign w:val="center"/>
          </w:tcPr>
          <w:p w14:paraId="10124B8B">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课程讲授富有吸引力，互动气氛融洽，学生思维活跃，能够了解领域和行业的 最新动态和实际情况，创新实践能力增强，学生素质、知识和能力全面提高。</w:t>
            </w:r>
          </w:p>
        </w:tc>
        <w:tc>
          <w:tcPr>
            <w:tcW w:w="908" w:type="dxa"/>
            <w:vMerge w:val="restart"/>
            <w:vAlign w:val="center"/>
          </w:tcPr>
          <w:p w14:paraId="5669E677">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8分</w:t>
            </w:r>
          </w:p>
        </w:tc>
      </w:tr>
      <w:tr w14:paraId="631B4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jc w:val="center"/>
        </w:trPr>
        <w:tc>
          <w:tcPr>
            <w:tcW w:w="1473" w:type="dxa"/>
            <w:vMerge w:val="continue"/>
            <w:vAlign w:val="center"/>
          </w:tcPr>
          <w:p w14:paraId="3937F5D5">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c>
          <w:tcPr>
            <w:tcW w:w="7257" w:type="dxa"/>
            <w:vAlign w:val="center"/>
          </w:tcPr>
          <w:p w14:paraId="5BA20175">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hint="eastAsia" w:ascii="Times New Roman" w:hAnsi="Times New Roman" w:eastAsia="仿宋" w:cs="Times New Roman"/>
                <w:b w:val="0"/>
                <w:bCs w:val="0"/>
                <w:spacing w:val="0"/>
                <w:sz w:val="24"/>
                <w:szCs w:val="24"/>
              </w:rPr>
              <w:t>形成服务国家战略、突出专业特色、符合学生特点和推动产业高质量发展的合作教学模式，形成可持续发展的机制体制和基本经验，具有较大借鉴和推广价 值。</w:t>
            </w:r>
          </w:p>
        </w:tc>
        <w:tc>
          <w:tcPr>
            <w:tcW w:w="908" w:type="dxa"/>
            <w:vMerge w:val="continue"/>
            <w:vAlign w:val="center"/>
          </w:tcPr>
          <w:p w14:paraId="76A884B0">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ascii="Times New Roman" w:hAnsi="Times New Roman" w:eastAsia="黑体" w:cs="Times New Roman"/>
                <w:b w:val="0"/>
                <w:bCs w:val="0"/>
                <w:spacing w:val="0"/>
                <w:sz w:val="24"/>
                <w:szCs w:val="24"/>
              </w:rPr>
            </w:pPr>
          </w:p>
        </w:tc>
      </w:tr>
      <w:tr w14:paraId="2E8F5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jc w:val="center"/>
        </w:trPr>
        <w:tc>
          <w:tcPr>
            <w:tcW w:w="1473" w:type="dxa"/>
            <w:vAlign w:val="center"/>
          </w:tcPr>
          <w:p w14:paraId="4B50A768">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eastAsia"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视频质量</w:t>
            </w:r>
          </w:p>
        </w:tc>
        <w:tc>
          <w:tcPr>
            <w:tcW w:w="7257" w:type="dxa"/>
            <w:vAlign w:val="center"/>
          </w:tcPr>
          <w:p w14:paraId="17494780">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hint="eastAsia" w:ascii="Times New Roman" w:hAnsi="Times New Roman" w:eastAsia="仿宋" w:cs="Times New Roman"/>
                <w:b w:val="0"/>
                <w:bCs w:val="0"/>
                <w:spacing w:val="0"/>
                <w:sz w:val="24"/>
                <w:szCs w:val="24"/>
              </w:rPr>
              <w:t>教学视频清晰、流畅，能客观、真实反映师生的教学过程常态。</w:t>
            </w:r>
          </w:p>
        </w:tc>
        <w:tc>
          <w:tcPr>
            <w:tcW w:w="908" w:type="dxa"/>
            <w:vAlign w:val="center"/>
          </w:tcPr>
          <w:p w14:paraId="0A39C26C">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4分</w:t>
            </w:r>
          </w:p>
        </w:tc>
      </w:tr>
      <w:tr w14:paraId="7C61C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73" w:type="dxa"/>
            <w:vAlign w:val="center"/>
          </w:tcPr>
          <w:p w14:paraId="2525CB19">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总  分</w:t>
            </w:r>
          </w:p>
        </w:tc>
        <w:tc>
          <w:tcPr>
            <w:tcW w:w="7257" w:type="dxa"/>
            <w:vAlign w:val="center"/>
          </w:tcPr>
          <w:p w14:paraId="2CFBC560">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left"/>
              <w:textAlignment w:val="baseline"/>
              <w:rPr>
                <w:rFonts w:hint="eastAsia" w:ascii="Times New Roman" w:hAnsi="Times New Roman" w:eastAsia="仿宋" w:cs="Times New Roman"/>
                <w:b w:val="0"/>
                <w:bCs w:val="0"/>
                <w:spacing w:val="0"/>
                <w:sz w:val="24"/>
                <w:szCs w:val="24"/>
              </w:rPr>
            </w:pPr>
          </w:p>
        </w:tc>
        <w:tc>
          <w:tcPr>
            <w:tcW w:w="908" w:type="dxa"/>
            <w:vAlign w:val="center"/>
          </w:tcPr>
          <w:p w14:paraId="747E573F">
            <w:pPr>
              <w:pStyle w:val="7"/>
              <w:keepNext w:val="0"/>
              <w:keepLines w:val="0"/>
              <w:pageBreakBefore w:val="0"/>
              <w:widowControl/>
              <w:kinsoku/>
              <w:wordWrap w:val="0"/>
              <w:overflowPunct/>
              <w:topLinePunct/>
              <w:autoSpaceDE/>
              <w:autoSpaceDN/>
              <w:bidi w:val="0"/>
              <w:adjustRightInd w:val="0"/>
              <w:snapToGrid w:val="0"/>
              <w:spacing w:line="240" w:lineRule="auto"/>
              <w:ind w:left="0" w:firstLine="0"/>
              <w:jc w:val="center"/>
              <w:textAlignment w:val="baseline"/>
              <w:rPr>
                <w:rFonts w:hint="default"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40分</w:t>
            </w:r>
          </w:p>
        </w:tc>
      </w:tr>
    </w:tbl>
    <w:p w14:paraId="0726B2DA">
      <w:pPr>
        <w:keepNext w:val="0"/>
        <w:keepLines w:val="0"/>
        <w:pageBreakBefore w:val="0"/>
        <w:widowControl/>
        <w:kinsoku/>
        <w:wordWrap w:val="0"/>
        <w:overflowPunct/>
        <w:topLinePunct/>
        <w:autoSpaceDE/>
        <w:autoSpaceDN/>
        <w:bidi w:val="0"/>
        <w:adjustRightInd w:val="0"/>
        <w:snapToGrid w:val="0"/>
        <w:spacing w:before="0" w:beforeLines="100" w:after="0" w:afterLines="50" w:line="360" w:lineRule="auto"/>
        <w:ind w:right="0" w:firstLine="640" w:firstLineChars="200"/>
        <w:textAlignment w:val="baseline"/>
        <w:rPr>
          <w:rFonts w:ascii="楷体" w:hAnsi="楷体" w:eastAsia="楷体" w:cs="楷体"/>
          <w:sz w:val="31"/>
          <w:szCs w:val="31"/>
        </w:rPr>
      </w:pPr>
      <w:r>
        <w:rPr>
          <w:rFonts w:hint="eastAsia" w:ascii="楷体" w:hAnsi="楷体" w:eastAsia="楷体" w:cs="楷体"/>
          <w:spacing w:val="0"/>
          <w:sz w:val="32"/>
          <w:szCs w:val="32"/>
          <w:lang w:eastAsia="zh-CN"/>
        </w:rPr>
        <w:t>(二)产教融合创新成果报告(20分)</w:t>
      </w:r>
    </w:p>
    <w:p w14:paraId="07413F98">
      <w:pPr>
        <w:spacing w:line="55" w:lineRule="auto"/>
        <w:rPr>
          <w:rFonts w:ascii="Arial"/>
          <w:sz w:val="2"/>
        </w:rPr>
      </w:pPr>
    </w:p>
    <w:tbl>
      <w:tblPr>
        <w:tblStyle w:val="6"/>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9"/>
        <w:gridCol w:w="7255"/>
        <w:gridCol w:w="914"/>
      </w:tblGrid>
      <w:tr w14:paraId="26469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69" w:type="dxa"/>
            <w:vAlign w:val="center"/>
          </w:tcPr>
          <w:p w14:paraId="362AD2E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8"/>
                <w:szCs w:val="24"/>
              </w:rPr>
            </w:pPr>
            <w:r>
              <w:rPr>
                <w:rFonts w:ascii="Times New Roman" w:hAnsi="Times New Roman" w:eastAsia="黑体" w:cs="Times New Roman"/>
                <w:b w:val="0"/>
                <w:bCs w:val="0"/>
                <w:spacing w:val="0"/>
                <w:sz w:val="28"/>
                <w:szCs w:val="24"/>
              </w:rPr>
              <w:t>评价维度</w:t>
            </w:r>
          </w:p>
        </w:tc>
        <w:tc>
          <w:tcPr>
            <w:tcW w:w="7255" w:type="dxa"/>
            <w:vAlign w:val="center"/>
          </w:tcPr>
          <w:p w14:paraId="468F3FD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8"/>
              </w:rPr>
            </w:pPr>
            <w:r>
              <w:rPr>
                <w:rFonts w:ascii="Times New Roman" w:hAnsi="Times New Roman" w:eastAsia="黑体" w:cs="Times New Roman"/>
                <w:b w:val="0"/>
                <w:bCs w:val="0"/>
                <w:spacing w:val="0"/>
                <w:sz w:val="28"/>
              </w:rPr>
              <w:t>评价要点</w:t>
            </w:r>
          </w:p>
        </w:tc>
        <w:tc>
          <w:tcPr>
            <w:tcW w:w="914" w:type="dxa"/>
            <w:vAlign w:val="center"/>
          </w:tcPr>
          <w:p w14:paraId="3C62F06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黑体" w:cs="Times New Roman"/>
                <w:b w:val="0"/>
                <w:bCs w:val="0"/>
                <w:spacing w:val="0"/>
                <w:sz w:val="28"/>
                <w:lang w:val="en-US" w:eastAsia="zh-CN"/>
              </w:rPr>
            </w:pPr>
            <w:r>
              <w:rPr>
                <w:rFonts w:hint="eastAsia" w:ascii="Times New Roman" w:hAnsi="Times New Roman" w:eastAsia="黑体" w:cs="Times New Roman"/>
                <w:b w:val="0"/>
                <w:bCs w:val="0"/>
                <w:spacing w:val="0"/>
                <w:sz w:val="28"/>
                <w:lang w:val="en-US" w:eastAsia="zh-CN"/>
              </w:rPr>
              <w:t>分值</w:t>
            </w:r>
          </w:p>
        </w:tc>
      </w:tr>
      <w:tr w14:paraId="7E556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7" w:hRule="atLeast"/>
          <w:jc w:val="center"/>
        </w:trPr>
        <w:tc>
          <w:tcPr>
            <w:tcW w:w="1469" w:type="dxa"/>
            <w:vAlign w:val="center"/>
          </w:tcPr>
          <w:p w14:paraId="7CDFB02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问题导向</w:t>
            </w:r>
          </w:p>
        </w:tc>
        <w:tc>
          <w:tcPr>
            <w:tcW w:w="7255" w:type="dxa"/>
            <w:vAlign w:val="center"/>
          </w:tcPr>
          <w:p w14:paraId="4EB833E1">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人才培养规格与哲学社会科学和自然科学领域的各类实践需求相符，以培养高 素质创新人才为导向，立足专业和学科特色，发现和解决产教融合课程教学面临的问题和</w:t>
            </w:r>
            <w:r>
              <w:rPr>
                <w:rFonts w:ascii="Times New Roman" w:hAnsi="Times New Roman" w:eastAsia="仿宋" w:cs="Times New Roman"/>
                <w:color w:val="102040"/>
                <w:spacing w:val="0"/>
                <w:sz w:val="24"/>
                <w:szCs w:val="24"/>
              </w:rPr>
              <w:t>挑 战 。</w:t>
            </w:r>
          </w:p>
        </w:tc>
        <w:tc>
          <w:tcPr>
            <w:tcW w:w="914" w:type="dxa"/>
            <w:vAlign w:val="center"/>
          </w:tcPr>
          <w:p w14:paraId="671B6554">
            <w:pPr>
              <w:pStyle w:val="7"/>
              <w:spacing w:before="117" w:line="302" w:lineRule="auto"/>
              <w:ind w:left="82" w:right="22" w:hanging="70"/>
              <w:jc w:val="center"/>
              <w:rPr>
                <w:rFonts w:hint="default" w:ascii="Times New Roman" w:hAnsi="Times New Roman" w:eastAsia="黑体" w:cs="Times New Roman"/>
                <w:spacing w:val="-1"/>
                <w:sz w:val="24"/>
                <w:szCs w:val="24"/>
                <w:lang w:val="en-US" w:eastAsia="zh-CN"/>
              </w:rPr>
            </w:pPr>
            <w:r>
              <w:rPr>
                <w:rFonts w:hint="eastAsia" w:ascii="Times New Roman" w:hAnsi="Times New Roman" w:eastAsia="黑体" w:cs="Times New Roman"/>
                <w:spacing w:val="-1"/>
                <w:sz w:val="24"/>
                <w:szCs w:val="24"/>
                <w:lang w:val="en-US" w:eastAsia="zh-CN"/>
              </w:rPr>
              <w:t>5分</w:t>
            </w:r>
          </w:p>
        </w:tc>
      </w:tr>
      <w:tr w14:paraId="18FB4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jc w:val="center"/>
        </w:trPr>
        <w:tc>
          <w:tcPr>
            <w:tcW w:w="1469" w:type="dxa"/>
            <w:vAlign w:val="center"/>
          </w:tcPr>
          <w:p w14:paraId="29531CE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创新特色</w:t>
            </w:r>
          </w:p>
        </w:tc>
        <w:tc>
          <w:tcPr>
            <w:tcW w:w="7255" w:type="dxa"/>
            <w:vAlign w:val="center"/>
          </w:tcPr>
          <w:p w14:paraId="1714F923">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通过产学研深度合作，在教学目标、内容、方法、评价和资源开发等方面共同完成课程改革，且针对性、创新性、可操作性强。</w:t>
            </w:r>
          </w:p>
        </w:tc>
        <w:tc>
          <w:tcPr>
            <w:tcW w:w="914" w:type="dxa"/>
            <w:vAlign w:val="center"/>
          </w:tcPr>
          <w:p w14:paraId="01DA3DB0">
            <w:pPr>
              <w:pStyle w:val="7"/>
              <w:spacing w:before="80" w:line="297" w:lineRule="auto"/>
              <w:ind w:left="112" w:right="12" w:hanging="100"/>
              <w:jc w:val="center"/>
              <w:rPr>
                <w:rFonts w:hint="default" w:ascii="Times New Roman" w:hAnsi="Times New Roman" w:eastAsia="黑体" w:cs="Times New Roman"/>
                <w:spacing w:val="-1"/>
                <w:sz w:val="24"/>
                <w:szCs w:val="24"/>
                <w:lang w:val="en-US" w:eastAsia="zh-CN"/>
              </w:rPr>
            </w:pPr>
            <w:r>
              <w:rPr>
                <w:rFonts w:hint="eastAsia" w:ascii="Times New Roman" w:hAnsi="Times New Roman" w:eastAsia="黑体" w:cs="Times New Roman"/>
                <w:spacing w:val="-1"/>
                <w:sz w:val="24"/>
                <w:szCs w:val="24"/>
                <w:lang w:val="en-US" w:eastAsia="zh-CN"/>
              </w:rPr>
              <w:t>5分</w:t>
            </w:r>
          </w:p>
        </w:tc>
      </w:tr>
      <w:tr w14:paraId="70725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7" w:hRule="atLeast"/>
          <w:jc w:val="center"/>
        </w:trPr>
        <w:tc>
          <w:tcPr>
            <w:tcW w:w="1469" w:type="dxa"/>
            <w:vAlign w:val="center"/>
          </w:tcPr>
          <w:p w14:paraId="5B47AAB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创新效果</w:t>
            </w:r>
          </w:p>
        </w:tc>
        <w:tc>
          <w:tcPr>
            <w:tcW w:w="7255" w:type="dxa"/>
            <w:vAlign w:val="center"/>
          </w:tcPr>
          <w:p w14:paraId="34A24A84">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课程教学方案设计科学、方法有效、评价多元，数字化转型较好，学生服务国 家战略意识、专业知识素养、解决产业发展问题能力同步提高，解决人才培养供给侧和产业需求侧的结构性矛盾。</w:t>
            </w:r>
          </w:p>
        </w:tc>
        <w:tc>
          <w:tcPr>
            <w:tcW w:w="914" w:type="dxa"/>
            <w:vAlign w:val="center"/>
          </w:tcPr>
          <w:p w14:paraId="7AB39DAE">
            <w:pPr>
              <w:pStyle w:val="7"/>
              <w:spacing w:before="102" w:line="309" w:lineRule="auto"/>
              <w:ind w:left="12"/>
              <w:jc w:val="center"/>
              <w:rPr>
                <w:rFonts w:hint="default" w:ascii="Times New Roman" w:hAnsi="Times New Roman" w:eastAsia="黑体" w:cs="Times New Roman"/>
                <w:spacing w:val="-1"/>
                <w:sz w:val="24"/>
                <w:szCs w:val="24"/>
                <w:lang w:val="en-US" w:eastAsia="zh-CN"/>
              </w:rPr>
            </w:pPr>
            <w:r>
              <w:rPr>
                <w:rFonts w:hint="eastAsia" w:ascii="Times New Roman" w:hAnsi="Times New Roman" w:eastAsia="黑体" w:cs="Times New Roman"/>
                <w:spacing w:val="-1"/>
                <w:sz w:val="24"/>
                <w:szCs w:val="24"/>
                <w:lang w:val="en-US" w:eastAsia="zh-CN"/>
              </w:rPr>
              <w:t>5分</w:t>
            </w:r>
          </w:p>
        </w:tc>
      </w:tr>
      <w:tr w14:paraId="23501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jc w:val="center"/>
        </w:trPr>
        <w:tc>
          <w:tcPr>
            <w:tcW w:w="1469" w:type="dxa"/>
            <w:vAlign w:val="center"/>
          </w:tcPr>
          <w:p w14:paraId="40B22EA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成果辐射</w:t>
            </w:r>
          </w:p>
        </w:tc>
        <w:tc>
          <w:tcPr>
            <w:tcW w:w="7255" w:type="dxa"/>
            <w:vAlign w:val="center"/>
          </w:tcPr>
          <w:p w14:paraId="367266A5">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spacing w:val="0"/>
                <w:sz w:val="24"/>
                <w:szCs w:val="24"/>
              </w:rPr>
            </w:pPr>
            <w:r>
              <w:rPr>
                <w:rFonts w:ascii="Times New Roman" w:hAnsi="Times New Roman" w:eastAsia="仿宋" w:cs="Times New Roman"/>
                <w:spacing w:val="0"/>
                <w:sz w:val="24"/>
                <w:szCs w:val="24"/>
              </w:rPr>
              <w:t>能够对产教融合课程教学的合作模式和成果转化开展基于证据的有效分析与总结，形成具有较强辐射推广价值的教学新方法、新模式。</w:t>
            </w:r>
          </w:p>
        </w:tc>
        <w:tc>
          <w:tcPr>
            <w:tcW w:w="914" w:type="dxa"/>
            <w:vAlign w:val="center"/>
          </w:tcPr>
          <w:p w14:paraId="00AC2BF0">
            <w:pPr>
              <w:pStyle w:val="7"/>
              <w:spacing w:before="97" w:line="292" w:lineRule="auto"/>
              <w:ind w:left="92" w:right="103"/>
              <w:jc w:val="center"/>
              <w:rPr>
                <w:rFonts w:hint="default"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t>5分</w:t>
            </w:r>
          </w:p>
        </w:tc>
      </w:tr>
      <w:tr w14:paraId="5E771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69" w:type="dxa"/>
            <w:vAlign w:val="center"/>
          </w:tcPr>
          <w:p w14:paraId="78447D8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总  分</w:t>
            </w:r>
          </w:p>
        </w:tc>
        <w:tc>
          <w:tcPr>
            <w:tcW w:w="7255" w:type="dxa"/>
            <w:vAlign w:val="center"/>
          </w:tcPr>
          <w:p w14:paraId="4F168B8D">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spacing w:val="0"/>
                <w:sz w:val="24"/>
                <w:szCs w:val="24"/>
              </w:rPr>
            </w:pPr>
          </w:p>
        </w:tc>
        <w:tc>
          <w:tcPr>
            <w:tcW w:w="914" w:type="dxa"/>
            <w:vAlign w:val="center"/>
          </w:tcPr>
          <w:p w14:paraId="2F4EDCAE">
            <w:pPr>
              <w:pStyle w:val="7"/>
              <w:spacing w:before="97" w:line="292" w:lineRule="auto"/>
              <w:ind w:left="92" w:right="103"/>
              <w:jc w:val="center"/>
              <w:rPr>
                <w:rFonts w:hint="default" w:ascii="Times New Roman" w:hAnsi="Times New Roman" w:eastAsia="黑体" w:cs="Times New Roman"/>
                <w:sz w:val="24"/>
                <w:szCs w:val="24"/>
                <w:lang w:val="en-US" w:eastAsia="zh-CN"/>
              </w:rPr>
            </w:pPr>
            <w:r>
              <w:rPr>
                <w:rFonts w:hint="eastAsia" w:ascii="Times New Roman" w:hAnsi="Times New Roman" w:eastAsia="黑体" w:cs="Times New Roman"/>
                <w:sz w:val="24"/>
                <w:szCs w:val="24"/>
                <w:lang w:val="en-US" w:eastAsia="zh-CN"/>
              </w:rPr>
              <w:t>20分</w:t>
            </w:r>
          </w:p>
        </w:tc>
      </w:tr>
    </w:tbl>
    <w:p w14:paraId="1DCE6A0D">
      <w:pPr>
        <w:keepNext w:val="0"/>
        <w:keepLines w:val="0"/>
        <w:pageBreakBefore w:val="0"/>
        <w:widowControl/>
        <w:kinsoku/>
        <w:wordWrap w:val="0"/>
        <w:overflowPunct/>
        <w:topLinePunct/>
        <w:autoSpaceDE/>
        <w:autoSpaceDN/>
        <w:bidi w:val="0"/>
        <w:adjustRightInd w:val="0"/>
        <w:snapToGrid w:val="0"/>
        <w:spacing w:before="0" w:beforeLines="100" w:after="0" w:afterLines="50" w:line="360" w:lineRule="auto"/>
        <w:ind w:left="0" w:right="0" w:firstLine="640" w:firstLineChars="200"/>
        <w:textAlignment w:val="baseline"/>
        <w:rPr>
          <w:rFonts w:hint="eastAsia" w:ascii="楷体" w:hAnsi="楷体" w:eastAsia="楷体" w:cs="楷体"/>
          <w:spacing w:val="0"/>
          <w:sz w:val="32"/>
          <w:szCs w:val="32"/>
          <w:lang w:eastAsia="zh-CN"/>
        </w:rPr>
      </w:pPr>
      <w:r>
        <w:rPr>
          <w:rFonts w:hint="eastAsia" w:ascii="楷体" w:hAnsi="楷体" w:eastAsia="楷体" w:cs="楷体"/>
          <w:spacing w:val="0"/>
          <w:sz w:val="32"/>
          <w:szCs w:val="32"/>
          <w:lang w:eastAsia="zh-CN"/>
        </w:rPr>
        <w:t>(三)教学设计创新汇报（40分）</w:t>
      </w:r>
    </w:p>
    <w:tbl>
      <w:tblPr>
        <w:tblStyle w:val="6"/>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56"/>
        <w:gridCol w:w="7262"/>
        <w:gridCol w:w="920"/>
      </w:tblGrid>
      <w:tr w14:paraId="17028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456" w:type="dxa"/>
            <w:vAlign w:val="center"/>
          </w:tcPr>
          <w:p w14:paraId="438B426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8"/>
                <w:szCs w:val="28"/>
              </w:rPr>
            </w:pPr>
            <w:r>
              <w:rPr>
                <w:rFonts w:ascii="Times New Roman" w:hAnsi="Times New Roman" w:eastAsia="黑体" w:cs="Times New Roman"/>
                <w:b w:val="0"/>
                <w:bCs w:val="0"/>
                <w:spacing w:val="0"/>
                <w:sz w:val="28"/>
                <w:szCs w:val="28"/>
              </w:rPr>
              <w:t>评价维度</w:t>
            </w:r>
          </w:p>
        </w:tc>
        <w:tc>
          <w:tcPr>
            <w:tcW w:w="7262" w:type="dxa"/>
            <w:vAlign w:val="center"/>
          </w:tcPr>
          <w:p w14:paraId="1CC7B22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8"/>
                <w:szCs w:val="28"/>
              </w:rPr>
            </w:pPr>
            <w:r>
              <w:rPr>
                <w:rFonts w:ascii="Times New Roman" w:hAnsi="Times New Roman" w:eastAsia="黑体" w:cs="Times New Roman"/>
                <w:b w:val="0"/>
                <w:bCs w:val="0"/>
                <w:spacing w:val="0"/>
                <w:sz w:val="28"/>
                <w:szCs w:val="28"/>
              </w:rPr>
              <w:t>评价要点</w:t>
            </w:r>
          </w:p>
        </w:tc>
        <w:tc>
          <w:tcPr>
            <w:tcW w:w="920" w:type="dxa"/>
            <w:vAlign w:val="center"/>
          </w:tcPr>
          <w:p w14:paraId="5BBE2BD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黑体" w:cs="Times New Roman"/>
                <w:b w:val="0"/>
                <w:bCs w:val="0"/>
                <w:spacing w:val="0"/>
                <w:sz w:val="28"/>
                <w:szCs w:val="28"/>
                <w:lang w:val="en-US" w:eastAsia="zh-CN"/>
              </w:rPr>
            </w:pPr>
            <w:r>
              <w:rPr>
                <w:rFonts w:hint="eastAsia" w:ascii="Times New Roman" w:hAnsi="Times New Roman" w:eastAsia="黑体" w:cs="Times New Roman"/>
                <w:b w:val="0"/>
                <w:bCs w:val="0"/>
                <w:spacing w:val="0"/>
                <w:sz w:val="28"/>
                <w:szCs w:val="28"/>
                <w:lang w:val="en-US" w:eastAsia="zh-CN"/>
              </w:rPr>
              <w:t>分值</w:t>
            </w:r>
          </w:p>
        </w:tc>
      </w:tr>
      <w:tr w14:paraId="4D084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jc w:val="center"/>
        </w:trPr>
        <w:tc>
          <w:tcPr>
            <w:tcW w:w="1456" w:type="dxa"/>
            <w:vAlign w:val="center"/>
          </w:tcPr>
          <w:p w14:paraId="6879BDF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理念与目标</w:t>
            </w:r>
          </w:p>
        </w:tc>
        <w:tc>
          <w:tcPr>
            <w:tcW w:w="7262" w:type="dxa"/>
            <w:vAlign w:val="center"/>
          </w:tcPr>
          <w:p w14:paraId="7DA8FB02">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课程设计体现</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以学生为中心</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的理念，教学目标符合专业课程特点、学生实 际，清楚具体，易于理解，便于实施，助力拔尖创新人才培养。</w:t>
            </w:r>
          </w:p>
        </w:tc>
        <w:tc>
          <w:tcPr>
            <w:tcW w:w="920" w:type="dxa"/>
            <w:vAlign w:val="center"/>
          </w:tcPr>
          <w:p w14:paraId="55288C9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5分</w:t>
            </w:r>
          </w:p>
        </w:tc>
      </w:tr>
      <w:tr w14:paraId="66376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8" w:hRule="atLeast"/>
          <w:jc w:val="center"/>
        </w:trPr>
        <w:tc>
          <w:tcPr>
            <w:tcW w:w="1456" w:type="dxa"/>
            <w:vMerge w:val="restart"/>
            <w:tcBorders>
              <w:bottom w:val="nil"/>
            </w:tcBorders>
            <w:vAlign w:val="center"/>
          </w:tcPr>
          <w:p w14:paraId="1D6ACA6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内容分析</w:t>
            </w:r>
          </w:p>
        </w:tc>
        <w:tc>
          <w:tcPr>
            <w:tcW w:w="7262" w:type="dxa"/>
            <w:vAlign w:val="center"/>
          </w:tcPr>
          <w:p w14:paraId="664782F8">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紧密对接产业链和创新链，及时将学科研究新进展、实践发展新经验、社会需 求新变化、思政教育有机融入课程教学内容，更新及时，动态完善。</w:t>
            </w:r>
          </w:p>
        </w:tc>
        <w:tc>
          <w:tcPr>
            <w:tcW w:w="920" w:type="dxa"/>
            <w:vMerge w:val="restart"/>
            <w:vAlign w:val="center"/>
          </w:tcPr>
          <w:p w14:paraId="078480B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10分</w:t>
            </w:r>
          </w:p>
        </w:tc>
      </w:tr>
      <w:tr w14:paraId="13907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jc w:val="center"/>
        </w:trPr>
        <w:tc>
          <w:tcPr>
            <w:tcW w:w="1456" w:type="dxa"/>
            <w:vMerge w:val="continue"/>
            <w:tcBorders>
              <w:top w:val="nil"/>
            </w:tcBorders>
            <w:vAlign w:val="center"/>
          </w:tcPr>
          <w:p w14:paraId="1E29242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262" w:type="dxa"/>
            <w:vAlign w:val="center"/>
          </w:tcPr>
          <w:p w14:paraId="44CC85B2">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避免</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两张皮</w:t>
            </w:r>
            <w:r>
              <w:rPr>
                <w:rFonts w:hint="eastAsia" w:ascii="Times New Roman" w:hAnsi="Times New Roman" w:eastAsia="仿宋" w:cs="Times New Roman"/>
                <w:b w:val="0"/>
                <w:bCs w:val="0"/>
                <w:spacing w:val="0"/>
                <w:sz w:val="24"/>
                <w:szCs w:val="24"/>
                <w:lang w:eastAsia="zh-CN"/>
              </w:rPr>
              <w:t>”，</w:t>
            </w:r>
            <w:r>
              <w:rPr>
                <w:rFonts w:ascii="Times New Roman" w:hAnsi="Times New Roman" w:eastAsia="仿宋" w:cs="Times New Roman"/>
                <w:b w:val="0"/>
                <w:bCs w:val="0"/>
                <w:spacing w:val="0"/>
                <w:sz w:val="24"/>
                <w:szCs w:val="24"/>
              </w:rPr>
              <w:t>将专业课程知识点关系、地位、作用纳入到产业发展的新环境、新背景中去讲授，描述准确，理论与实践结合合理，高校、行业企业内容分配合理；参与教学的双师型师资队伍建设合理。</w:t>
            </w:r>
          </w:p>
        </w:tc>
        <w:tc>
          <w:tcPr>
            <w:tcW w:w="920" w:type="dxa"/>
            <w:vMerge w:val="continue"/>
            <w:tcBorders/>
            <w:vAlign w:val="center"/>
          </w:tcPr>
          <w:p w14:paraId="0A619D6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ascii="Times New Roman" w:hAnsi="Times New Roman" w:eastAsia="黑体" w:cs="Times New Roman"/>
                <w:b/>
                <w:bCs/>
                <w:spacing w:val="0"/>
                <w:sz w:val="24"/>
                <w:szCs w:val="24"/>
              </w:rPr>
            </w:pPr>
          </w:p>
        </w:tc>
      </w:tr>
      <w:tr w14:paraId="4E56F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jc w:val="center"/>
        </w:trPr>
        <w:tc>
          <w:tcPr>
            <w:tcW w:w="1456" w:type="dxa"/>
            <w:vMerge w:val="restart"/>
            <w:vAlign w:val="center"/>
          </w:tcPr>
          <w:p w14:paraId="014F812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过程与方法</w:t>
            </w:r>
          </w:p>
        </w:tc>
        <w:tc>
          <w:tcPr>
            <w:tcW w:w="7262" w:type="dxa"/>
            <w:vAlign w:val="center"/>
          </w:tcPr>
          <w:p w14:paraId="469F2CCE">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教学过程在行业企业真实场景下进行，培养学生分析解决复杂问题的能力以及创新创业的意识和能力，实践教学与生产实践对接。</w:t>
            </w:r>
          </w:p>
        </w:tc>
        <w:tc>
          <w:tcPr>
            <w:tcW w:w="920" w:type="dxa"/>
            <w:vMerge w:val="restart"/>
            <w:vAlign w:val="center"/>
          </w:tcPr>
          <w:p w14:paraId="7DED677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15分</w:t>
            </w:r>
          </w:p>
        </w:tc>
      </w:tr>
      <w:tr w14:paraId="2EB5F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jc w:val="center"/>
        </w:trPr>
        <w:tc>
          <w:tcPr>
            <w:tcW w:w="1456" w:type="dxa"/>
            <w:vMerge w:val="continue"/>
            <w:tcBorders/>
            <w:vAlign w:val="center"/>
          </w:tcPr>
          <w:p w14:paraId="3BE2682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262" w:type="dxa"/>
            <w:vAlign w:val="center"/>
          </w:tcPr>
          <w:p w14:paraId="0050C5BE">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通过产教协同解决教学过程中存在的各种问题和困难；教学重点突出，难点把 握准确，充分调动学生积极性、主动性和创造性。</w:t>
            </w:r>
          </w:p>
        </w:tc>
        <w:tc>
          <w:tcPr>
            <w:tcW w:w="920" w:type="dxa"/>
            <w:vMerge w:val="continue"/>
            <w:tcBorders/>
            <w:vAlign w:val="center"/>
          </w:tcPr>
          <w:p w14:paraId="469F3A9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ascii="Times New Roman" w:hAnsi="Times New Roman" w:eastAsia="黑体" w:cs="Times New Roman"/>
                <w:b/>
                <w:bCs/>
                <w:spacing w:val="0"/>
                <w:sz w:val="24"/>
                <w:szCs w:val="24"/>
              </w:rPr>
            </w:pPr>
          </w:p>
        </w:tc>
      </w:tr>
      <w:tr w14:paraId="7AF6B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jc w:val="center"/>
        </w:trPr>
        <w:tc>
          <w:tcPr>
            <w:tcW w:w="1456" w:type="dxa"/>
            <w:vMerge w:val="continue"/>
            <w:tcBorders/>
            <w:vAlign w:val="center"/>
          </w:tcPr>
          <w:p w14:paraId="5C3AD05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p>
        </w:tc>
        <w:tc>
          <w:tcPr>
            <w:tcW w:w="7262" w:type="dxa"/>
            <w:vAlign w:val="center"/>
          </w:tcPr>
          <w:p w14:paraId="4384E5D1">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合理选择与应用数字化平台和技术，创设教学环境，强调自主、合作、探究的学习。</w:t>
            </w:r>
          </w:p>
        </w:tc>
        <w:tc>
          <w:tcPr>
            <w:tcW w:w="920" w:type="dxa"/>
            <w:vMerge w:val="continue"/>
            <w:tcBorders/>
            <w:vAlign w:val="center"/>
          </w:tcPr>
          <w:p w14:paraId="084804D7">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ascii="Times New Roman" w:hAnsi="Times New Roman" w:eastAsia="黑体" w:cs="Times New Roman"/>
                <w:spacing w:val="0"/>
                <w:sz w:val="24"/>
                <w:szCs w:val="24"/>
              </w:rPr>
            </w:pPr>
          </w:p>
        </w:tc>
      </w:tr>
      <w:tr w14:paraId="3D681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jc w:val="center"/>
        </w:trPr>
        <w:tc>
          <w:tcPr>
            <w:tcW w:w="1456" w:type="dxa"/>
            <w:vAlign w:val="center"/>
          </w:tcPr>
          <w:p w14:paraId="04208A2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考核评价</w:t>
            </w:r>
          </w:p>
        </w:tc>
        <w:tc>
          <w:tcPr>
            <w:tcW w:w="7262" w:type="dxa"/>
            <w:vAlign w:val="center"/>
          </w:tcPr>
          <w:p w14:paraId="18CCEED4">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评价方法和主体多元，行业企业参与评价，过程性评价和终结性评价相结合，学生知识、能力和思维发展得到合理有效评价。</w:t>
            </w:r>
          </w:p>
        </w:tc>
        <w:tc>
          <w:tcPr>
            <w:tcW w:w="920" w:type="dxa"/>
            <w:vAlign w:val="center"/>
          </w:tcPr>
          <w:p w14:paraId="382CC5E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5分</w:t>
            </w:r>
          </w:p>
        </w:tc>
      </w:tr>
      <w:tr w14:paraId="78AED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jc w:val="center"/>
        </w:trPr>
        <w:tc>
          <w:tcPr>
            <w:tcW w:w="1456" w:type="dxa"/>
            <w:vAlign w:val="center"/>
          </w:tcPr>
          <w:p w14:paraId="172F907B">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黑体" w:cs="Times New Roman"/>
                <w:b w:val="0"/>
                <w:bCs w:val="0"/>
                <w:spacing w:val="0"/>
                <w:sz w:val="24"/>
                <w:szCs w:val="24"/>
              </w:rPr>
            </w:pPr>
            <w:r>
              <w:rPr>
                <w:rFonts w:ascii="Times New Roman" w:hAnsi="Times New Roman" w:eastAsia="黑体" w:cs="Times New Roman"/>
                <w:b w:val="0"/>
                <w:bCs w:val="0"/>
                <w:spacing w:val="0"/>
                <w:sz w:val="24"/>
                <w:szCs w:val="24"/>
              </w:rPr>
              <w:t>设</w:t>
            </w:r>
            <w:r>
              <w:rPr>
                <w:rFonts w:ascii="Times New Roman" w:hAnsi="Times New Roman" w:eastAsia="黑体" w:cs="Times New Roman"/>
                <w:b w:val="0"/>
                <w:bCs w:val="0"/>
                <w:color w:val="202050"/>
                <w:spacing w:val="0"/>
                <w:sz w:val="24"/>
                <w:szCs w:val="24"/>
              </w:rPr>
              <w:t>计</w:t>
            </w:r>
            <w:r>
              <w:rPr>
                <w:rFonts w:ascii="Times New Roman" w:hAnsi="Times New Roman" w:eastAsia="黑体" w:cs="Times New Roman"/>
                <w:b w:val="0"/>
                <w:bCs w:val="0"/>
                <w:spacing w:val="0"/>
                <w:sz w:val="24"/>
                <w:szCs w:val="24"/>
              </w:rPr>
              <w:t>创新</w:t>
            </w:r>
          </w:p>
        </w:tc>
        <w:tc>
          <w:tcPr>
            <w:tcW w:w="7262" w:type="dxa"/>
            <w:vAlign w:val="center"/>
          </w:tcPr>
          <w:p w14:paraId="3A01F24A">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r>
              <w:rPr>
                <w:rFonts w:ascii="Times New Roman" w:hAnsi="Times New Roman" w:eastAsia="仿宋" w:cs="Times New Roman"/>
                <w:b w:val="0"/>
                <w:bCs w:val="0"/>
                <w:spacing w:val="0"/>
                <w:sz w:val="24"/>
                <w:szCs w:val="24"/>
              </w:rPr>
              <w:t>教学方案的整体设计富有创新性，注重资源整合，能体现产教融合协同育人的 教学理念、思路和要求；教学方法选择适当，教学过程设计有突出的特色。</w:t>
            </w:r>
          </w:p>
        </w:tc>
        <w:tc>
          <w:tcPr>
            <w:tcW w:w="920" w:type="dxa"/>
            <w:vAlign w:val="center"/>
          </w:tcPr>
          <w:p w14:paraId="7D196D9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5分</w:t>
            </w:r>
            <w:bookmarkStart w:id="0" w:name="_GoBack"/>
            <w:bookmarkEnd w:id="0"/>
          </w:p>
        </w:tc>
      </w:tr>
      <w:tr w14:paraId="5747E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jc w:val="center"/>
        </w:trPr>
        <w:tc>
          <w:tcPr>
            <w:tcW w:w="1456" w:type="dxa"/>
            <w:vAlign w:val="center"/>
          </w:tcPr>
          <w:p w14:paraId="12969DD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黑体" w:cs="Times New Roman"/>
                <w:b w:val="0"/>
                <w:bCs w:val="0"/>
                <w:spacing w:val="0"/>
                <w:sz w:val="24"/>
                <w:szCs w:val="24"/>
                <w:lang w:val="en-US" w:eastAsia="zh-CN"/>
              </w:rPr>
            </w:pPr>
            <w:r>
              <w:rPr>
                <w:rFonts w:hint="eastAsia" w:ascii="Times New Roman" w:hAnsi="Times New Roman" w:eastAsia="黑体" w:cs="Times New Roman"/>
                <w:b w:val="0"/>
                <w:bCs w:val="0"/>
                <w:spacing w:val="0"/>
                <w:sz w:val="24"/>
                <w:szCs w:val="24"/>
                <w:lang w:val="en-US" w:eastAsia="zh-CN"/>
              </w:rPr>
              <w:t>总  分</w:t>
            </w:r>
          </w:p>
        </w:tc>
        <w:tc>
          <w:tcPr>
            <w:tcW w:w="7262" w:type="dxa"/>
            <w:vAlign w:val="center"/>
          </w:tcPr>
          <w:p w14:paraId="46FB992D">
            <w:pPr>
              <w:pStyle w:val="7"/>
              <w:keepNext w:val="0"/>
              <w:keepLines w:val="0"/>
              <w:pageBreakBefore w:val="0"/>
              <w:widowControl/>
              <w:kinsoku/>
              <w:wordWrap w:val="0"/>
              <w:overflowPunct/>
              <w:topLinePunct/>
              <w:autoSpaceDE/>
              <w:autoSpaceDN/>
              <w:bidi w:val="0"/>
              <w:adjustRightInd w:val="0"/>
              <w:snapToGrid w:val="0"/>
              <w:spacing w:before="0" w:beforeLines="50" w:after="0" w:afterLines="25" w:line="240" w:lineRule="auto"/>
              <w:ind w:left="105" w:leftChars="50" w:right="53" w:rightChars="25" w:firstLine="0"/>
              <w:jc w:val="both"/>
              <w:textAlignment w:val="baseline"/>
              <w:rPr>
                <w:rFonts w:ascii="Times New Roman" w:hAnsi="Times New Roman" w:eastAsia="仿宋" w:cs="Times New Roman"/>
                <w:b w:val="0"/>
                <w:bCs w:val="0"/>
                <w:spacing w:val="0"/>
                <w:sz w:val="24"/>
                <w:szCs w:val="24"/>
              </w:rPr>
            </w:pPr>
          </w:p>
        </w:tc>
        <w:tc>
          <w:tcPr>
            <w:tcW w:w="920" w:type="dxa"/>
            <w:vAlign w:val="center"/>
          </w:tcPr>
          <w:p w14:paraId="74B600D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0" w:firstLine="0"/>
              <w:jc w:val="center"/>
              <w:textAlignment w:val="baseline"/>
              <w:rPr>
                <w:rFonts w:hint="default" w:ascii="Times New Roman" w:hAnsi="Times New Roman" w:eastAsia="黑体" w:cs="Times New Roman"/>
                <w:spacing w:val="0"/>
                <w:sz w:val="24"/>
                <w:szCs w:val="24"/>
                <w:lang w:val="en-US" w:eastAsia="zh-CN"/>
              </w:rPr>
            </w:pPr>
            <w:r>
              <w:rPr>
                <w:rFonts w:hint="eastAsia" w:ascii="Times New Roman" w:hAnsi="Times New Roman" w:eastAsia="黑体" w:cs="Times New Roman"/>
                <w:spacing w:val="0"/>
                <w:sz w:val="24"/>
                <w:szCs w:val="24"/>
                <w:lang w:val="en-US" w:eastAsia="zh-CN"/>
              </w:rPr>
              <w:t>40分</w:t>
            </w:r>
          </w:p>
        </w:tc>
      </w:tr>
    </w:tbl>
    <w:p w14:paraId="77D24ED8">
      <w:pPr>
        <w:rPr>
          <w:rFonts w:ascii="Arial"/>
          <w:sz w:val="21"/>
        </w:rPr>
      </w:pPr>
    </w:p>
    <w:sectPr>
      <w:footerReference r:id="rId5" w:type="default"/>
      <w:pgSz w:w="11910" w:h="16840"/>
      <w:pgMar w:top="1414" w:right="1469" w:bottom="907" w:left="1494" w:header="0" w:footer="72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7123A">
    <w:pPr>
      <w:spacing w:line="177" w:lineRule="auto"/>
      <w:ind w:left="4324"/>
      <w:rPr>
        <w:rFonts w:ascii="Times New Roman" w:hAnsi="Times New Roman" w:eastAsia="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9D07AF"/>
    <w:rsid w:val="055406CA"/>
    <w:rsid w:val="06944B48"/>
    <w:rsid w:val="16227A29"/>
    <w:rsid w:val="1E6E4AD7"/>
    <w:rsid w:val="1FEC6677"/>
    <w:rsid w:val="284B72B3"/>
    <w:rsid w:val="378C0D4E"/>
    <w:rsid w:val="393618B9"/>
    <w:rsid w:val="3D1837B0"/>
    <w:rsid w:val="3FC714BD"/>
    <w:rsid w:val="47C06F1E"/>
    <w:rsid w:val="49A308A5"/>
    <w:rsid w:val="530F48B5"/>
    <w:rsid w:val="5AA12BDF"/>
    <w:rsid w:val="5C3F26AF"/>
    <w:rsid w:val="5EC155FD"/>
    <w:rsid w:val="64DF4A2F"/>
    <w:rsid w:val="6A4E3ABD"/>
    <w:rsid w:val="6E276AFF"/>
    <w:rsid w:val="6FB2689C"/>
    <w:rsid w:val="71E73175"/>
    <w:rsid w:val="7EB066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2115</Words>
  <Characters>2131</Characters>
  <TotalTime>156</TotalTime>
  <ScaleCrop>false</ScaleCrop>
  <LinksUpToDate>false</LinksUpToDate>
  <CharactersWithSpaces>2158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2026-07-06T15:16:00Z</dcterms:created>
  <dc:creator>hbue</dc:creator>
  <cp:lastModifiedBy>项育liuliu</cp:lastModifiedBy>
  <dcterms:modified xsi:type="dcterms:W3CDTF">2026-07-07T06:22:53Z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2026-07-06T15:16:53Z</vt:filetime>
  </property>
  <property fmtid="{D5CDD505-2E9C-101B-9397-08002B2CF9AE}" pid="4" name="UsrData">
    <vt:lpwstr>6a4b5661c55241001f4720ffwl</vt:lpwstr>
  </property>
  <property fmtid="{D5CDD505-2E9C-101B-9397-08002B2CF9AE}" pid="5" name="KSOTemplateDocerSaveRecord">
    <vt:lpwstr>eyJoZGlkIjoiMjIxY2IxMTkzM2E4Y2UxMmM5ZTk1YzI0NzU3YzQ0YjUiLCJ1c2VySWQiOiIyMzcwMTU0MjcifQ==</vt:lpwstr>
  </property>
  <property fmtid="{D5CDD505-2E9C-101B-9397-08002B2CF9AE}" pid="6" name="KSOProductBuildVer">
    <vt:lpwstr>2052-12.1.0.26895</vt:lpwstr>
  </property>
  <property fmtid="{D5CDD505-2E9C-101B-9397-08002B2CF9AE}" pid="7" name="ICV">
    <vt:lpwstr>649DD205F49D4FD184B095B10E4AFDD0_12</vt:lpwstr>
  </property>
</Properties>
</file>