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90416">
      <w:pPr>
        <w:pStyle w:val="2"/>
        <w:spacing w:before="248" w:line="222" w:lineRule="auto"/>
        <w:rPr>
          <w:rFonts w:ascii="Times New Roman" w:hAnsi="Times New Roman" w:eastAsia="黑体"/>
          <w:b w:val="0"/>
          <w:bCs w:val="0"/>
          <w:spacing w:val="0"/>
          <w:sz w:val="30"/>
          <w:szCs w:val="30"/>
        </w:rPr>
      </w:pPr>
      <w:r>
        <w:rPr>
          <w:rFonts w:ascii="Times New Roman" w:hAnsi="Times New Roman" w:eastAsia="黑体"/>
          <w:b w:val="0"/>
          <w:bCs w:val="0"/>
          <w:spacing w:val="0"/>
          <w:sz w:val="30"/>
          <w:szCs w:val="30"/>
        </w:rPr>
        <w:t>附件5</w:t>
      </w:r>
    </w:p>
    <w:p w14:paraId="168C8A8B">
      <w:pPr>
        <w:spacing w:line="395" w:lineRule="auto"/>
        <w:rPr>
          <w:rFonts w:ascii="Arial"/>
          <w:sz w:val="21"/>
        </w:rPr>
      </w:pPr>
    </w:p>
    <w:p w14:paraId="3492FF65">
      <w:pPr>
        <w:spacing w:before="143" w:line="219" w:lineRule="auto"/>
        <w:ind w:left="2215"/>
        <w:rPr>
          <w:rFonts w:ascii="宋体" w:hAnsi="宋体" w:eastAsia="方正小标宋简体" w:cs="宋体"/>
          <w:b w:val="0"/>
          <w:bCs w:val="0"/>
          <w:spacing w:val="0"/>
          <w:sz w:val="44"/>
          <w:szCs w:val="44"/>
        </w:rPr>
      </w:pPr>
      <w:r>
        <w:rPr>
          <w:rFonts w:ascii="宋体" w:hAnsi="宋体" w:eastAsia="方正小标宋简体" w:cs="宋体"/>
          <w:b w:val="0"/>
          <w:bCs w:val="0"/>
          <w:spacing w:val="0"/>
          <w:sz w:val="44"/>
          <w:szCs w:val="44"/>
        </w:rPr>
        <w:t>人工智能赛道实施方案</w:t>
      </w:r>
    </w:p>
    <w:p w14:paraId="7C106D32">
      <w:pPr>
        <w:spacing w:line="265" w:lineRule="auto"/>
        <w:rPr>
          <w:rFonts w:ascii="Arial"/>
          <w:sz w:val="21"/>
        </w:rPr>
      </w:pPr>
    </w:p>
    <w:p w14:paraId="7D1CD866">
      <w:pPr>
        <w:spacing w:line="265" w:lineRule="auto"/>
        <w:rPr>
          <w:rFonts w:ascii="Arial"/>
          <w:sz w:val="21"/>
        </w:rPr>
      </w:pPr>
    </w:p>
    <w:p w14:paraId="1E0F4BDB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94" w:line="360" w:lineRule="auto"/>
        <w:ind w:left="64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一、参赛要求</w:t>
      </w:r>
    </w:p>
    <w:p w14:paraId="43C118B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以个人形式参赛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参赛课程须利用国家高等教育智慧教育平台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（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含接入平 台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提供的资源或工具，或依托生成式人工智能技术建设并 运用教学智能体开展教学。</w:t>
      </w:r>
    </w:p>
    <w:p w14:paraId="7576F50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人工智能赛道探索基于人工智能技术的教学模式创新， 须明确体现数据驱动和人工智能技术运用，至少包括2个如下情境：学情数据采集与分析、数字资源整合与运用、适配的教学场景设计、多维智能评价反馈、师生机协同教学、个 性化学习支持等。</w:t>
      </w:r>
    </w:p>
    <w:p w14:paraId="6BAC47DE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人工智能赛道现场评审，须重点展示最具创新性的人工智能教学设计及实施过程。</w:t>
      </w:r>
    </w:p>
    <w:p w14:paraId="6196FA4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94" w:line="360" w:lineRule="auto"/>
        <w:ind w:left="640"/>
        <w:jc w:val="both"/>
        <w:textAlignment w:val="baseline"/>
        <w:rPr>
          <w:rFonts w:ascii="黑体" w:hAnsi="黑体" w:eastAsia="黑体" w:cs="黑体"/>
          <w:spacing w:val="12"/>
          <w:sz w:val="32"/>
          <w:szCs w:val="32"/>
        </w:rPr>
      </w:pPr>
      <w:r>
        <w:rPr>
          <w:rFonts w:ascii="黑体" w:hAnsi="黑体" w:eastAsia="黑体" w:cs="黑体"/>
          <w:spacing w:val="12"/>
          <w:sz w:val="32"/>
          <w:szCs w:val="32"/>
        </w:rPr>
        <w:t>二、材料要求</w:t>
      </w:r>
    </w:p>
    <w:p w14:paraId="32F3645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1"/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</w:rPr>
        <w:t>一</w:t>
      </w: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</w:rPr>
        <w:t>申报书</w:t>
      </w:r>
    </w:p>
    <w:p w14:paraId="049431EB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spacing w:val="0"/>
          <w:sz w:val="32"/>
          <w:szCs w:val="32"/>
        </w:rPr>
        <w:t>参赛教师通过校赛平台填写，填写后原则上不得修改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。</w:t>
      </w:r>
    </w:p>
    <w:p w14:paraId="22A8977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1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(二)人工智能创新成果报告</w:t>
      </w:r>
    </w:p>
    <w:p w14:paraId="43F613A0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人工智能创新成果报告应立足新时代人才培养与课程建设目标，聚焦真挑战与真问题，紧扣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以学生为中心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”“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人机协作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等核心理念，重点呈现人工智能技术对教学模式的 系统性赋能。报告需详细介绍人工智能技术深度应用如何推动教学内容、方法、环境与评价的整体重构，或重点剖析具有显著创新特征的教学环节；提供可验证的客观证据或对比数据，清晰展示人工智能技术在提升学生专业能力、创新思维、数字素养与伦理认知等方面的实际效果，同时明确相关数据治理、学术诚信与安全合规等安排；最终，应提炼出可复制、可推广的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人工智能+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”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教学创新模式，配套提供清晰的实施流程、工具链支持及量化评价指标。</w:t>
      </w:r>
    </w:p>
    <w:p w14:paraId="0190AB08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1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(三)教学视频及相关材料</w:t>
      </w:r>
    </w:p>
    <w:p w14:paraId="4BD87D91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本赛道需提交两项视频材料：一是课堂教学实录视频，须为参赛课程中一个完整1学时的课堂教学实录视频，时长 为40-50分钟，且全程连续录制；二是课外教学展示视频， 展示与课堂实录相关的课前、课后教学环节，充分体现人工智能技术融入教学全过程的实施情况，时长不超过15分钟。</w:t>
      </w:r>
    </w:p>
    <w:p w14:paraId="6A71F630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上述两部分视频内容，均需体现人工智能技术的应用， 并在配套提交的教案与课件中，明确标注其应用环节、设计目的、操作流程及预期效果。</w:t>
      </w:r>
    </w:p>
    <w:p w14:paraId="08A97A54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1"/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(四)附加证明材料</w:t>
      </w:r>
    </w:p>
    <w:p w14:paraId="37D76292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rPr>
          <w:rFonts w:ascii="Times New Roman" w:hAnsi="Times New Roman" w:eastAsia="仿宋" w:cs="Times New Roman"/>
          <w:spacing w:val="0"/>
          <w:sz w:val="32"/>
          <w:szCs w:val="32"/>
        </w:rPr>
      </w:pPr>
      <w:r>
        <w:rPr>
          <w:rFonts w:ascii="Times New Roman" w:hAnsi="Times New Roman" w:eastAsia="仿宋" w:cs="Times New Roman"/>
          <w:spacing w:val="0"/>
          <w:sz w:val="32"/>
          <w:szCs w:val="32"/>
        </w:rPr>
        <w:t>本赛道需提供参赛课程利用国家高等教育智慧教育平 台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（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含接入平台</w:t>
      </w:r>
      <w:r>
        <w:rPr>
          <w:rFonts w:hint="eastAsia" w:ascii="Times New Roman" w:hAnsi="Times New Roman" w:cs="Times New Roman"/>
          <w:spacing w:val="0"/>
          <w:sz w:val="32"/>
          <w:szCs w:val="32"/>
          <w:lang w:eastAsia="zh-CN"/>
        </w:rPr>
        <w:t>）</w:t>
      </w:r>
      <w:r>
        <w:rPr>
          <w:rFonts w:ascii="Times New Roman" w:hAnsi="Times New Roman" w:eastAsia="仿宋" w:cs="Times New Roman"/>
          <w:spacing w:val="0"/>
          <w:sz w:val="32"/>
          <w:szCs w:val="32"/>
        </w:rPr>
        <w:t>提供的资源或工具，或依托生成式人工智 能技术建设并运用教学智能体开展教学的证明，包含但不限于课程数字资源和人工智能技术工具的详细页面的截图。</w:t>
      </w:r>
    </w:p>
    <w:p w14:paraId="7BF5D3A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94" w:line="360" w:lineRule="auto"/>
        <w:ind w:left="640"/>
        <w:jc w:val="both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2"/>
          <w:szCs w:val="32"/>
        </w:rPr>
        <w:t>三、评分标准</w:t>
      </w:r>
    </w:p>
    <w:p w14:paraId="3D4E0912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1"/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(一)教学视频（40分）</w:t>
      </w:r>
    </w:p>
    <w:tbl>
      <w:tblPr>
        <w:tblStyle w:val="6"/>
        <w:tblW w:w="9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4"/>
        <w:gridCol w:w="7257"/>
        <w:gridCol w:w="907"/>
      </w:tblGrid>
      <w:tr w14:paraId="58CA9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74" w:type="dxa"/>
            <w:vAlign w:val="center"/>
          </w:tcPr>
          <w:p w14:paraId="5EFA62D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评价维度</w:t>
            </w:r>
          </w:p>
        </w:tc>
        <w:tc>
          <w:tcPr>
            <w:tcW w:w="7257" w:type="dxa"/>
            <w:vAlign w:val="center"/>
          </w:tcPr>
          <w:p w14:paraId="4EC6979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8"/>
                <w:szCs w:val="28"/>
              </w:rPr>
              <w:t>评价要点</w:t>
            </w:r>
          </w:p>
        </w:tc>
        <w:tc>
          <w:tcPr>
            <w:tcW w:w="907" w:type="dxa"/>
            <w:vAlign w:val="center"/>
          </w:tcPr>
          <w:p w14:paraId="4D6E59E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8"/>
                <w:szCs w:val="28"/>
                <w:lang w:val="en-US" w:eastAsia="zh-CN"/>
              </w:rPr>
              <w:t>分值</w:t>
            </w:r>
          </w:p>
        </w:tc>
      </w:tr>
      <w:tr w14:paraId="42594D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  <w:jc w:val="center"/>
        </w:trPr>
        <w:tc>
          <w:tcPr>
            <w:tcW w:w="1474" w:type="dxa"/>
            <w:vAlign w:val="center"/>
          </w:tcPr>
          <w:p w14:paraId="257F0F0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教学理念</w:t>
            </w:r>
          </w:p>
        </w:tc>
        <w:tc>
          <w:tcPr>
            <w:tcW w:w="7257" w:type="dxa"/>
            <w:vAlign w:val="center"/>
          </w:tcPr>
          <w:p w14:paraId="076082A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落实立德树人根本任务，充分体现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以学生为中心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。坚持问题导向，以人工智能技术为驱动，注重培养学生适应新时代需要的数字素养和创新实践能力。</w:t>
            </w:r>
          </w:p>
        </w:tc>
        <w:tc>
          <w:tcPr>
            <w:tcW w:w="907" w:type="dxa"/>
            <w:vAlign w:val="center"/>
          </w:tcPr>
          <w:p w14:paraId="1720F18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2A947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052A9C6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教学内容</w:t>
            </w:r>
          </w:p>
        </w:tc>
        <w:tc>
          <w:tcPr>
            <w:tcW w:w="7257" w:type="dxa"/>
            <w:vAlign w:val="center"/>
          </w:tcPr>
          <w:p w14:paraId="5EB14AA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教学内容有深度、广度，反映学科前沿、满足行业与社会需求。</w:t>
            </w:r>
          </w:p>
        </w:tc>
        <w:tc>
          <w:tcPr>
            <w:tcW w:w="907" w:type="dxa"/>
            <w:vMerge w:val="restart"/>
            <w:vAlign w:val="center"/>
          </w:tcPr>
          <w:p w14:paraId="1107D24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8分</w:t>
            </w:r>
          </w:p>
        </w:tc>
      </w:tr>
      <w:tr w14:paraId="64AA0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45A9A0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158FEA3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渗透人工智能与专业交叉融合思想，体现高阶性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、创新性与挑战度；合理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利用人工智能技术对学科知识体系进行重构与拓展，动态更新、组织教学内容，适应学生个性化发展需求。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65E0211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 w:hanging="110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074CF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47F0B92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教学过程</w:t>
            </w:r>
          </w:p>
        </w:tc>
        <w:tc>
          <w:tcPr>
            <w:tcW w:w="7257" w:type="dxa"/>
            <w:vAlign w:val="center"/>
          </w:tcPr>
          <w:p w14:paraId="2610CF0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人工智能技术对课程全流程各环节的有效支撑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，形成数据驱动、促进思维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深度参与、增强个性化学习体验的教学设计。</w:t>
            </w:r>
          </w:p>
        </w:tc>
        <w:tc>
          <w:tcPr>
            <w:tcW w:w="907" w:type="dxa"/>
            <w:vMerge w:val="restart"/>
            <w:vAlign w:val="center"/>
          </w:tcPr>
          <w:p w14:paraId="57C7545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24" w:hanging="8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16分</w:t>
            </w:r>
          </w:p>
        </w:tc>
      </w:tr>
      <w:tr w14:paraId="0D93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017D62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73024DB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6"/>
                <w:sz w:val="24"/>
                <w:szCs w:val="24"/>
              </w:rPr>
              <w:t>教学目标科学、准确，符合大纲要求、学科特点与学生</w:t>
            </w:r>
            <w:r>
              <w:rPr>
                <w:rFonts w:ascii="Times New Roman" w:hAnsi="Times New Roman" w:eastAsia="仿宋" w:cs="Times New Roman"/>
                <w:spacing w:val="-7"/>
                <w:sz w:val="24"/>
                <w:szCs w:val="24"/>
              </w:rPr>
              <w:t>实际，体现对知识、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3"/>
                <w:sz w:val="24"/>
                <w:szCs w:val="24"/>
              </w:rPr>
              <w:t>能力与思维等方面的培养要求。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0D47930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hanging="78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5B2C8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0D7E10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7FE7B4A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教学方法与策略有效，能够运用人工智能技术，构建人机协同或人机共生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的教学模式，具有显著创新性和实用性。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151422B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3" w:hanging="80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0A7FF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474" w:type="dxa"/>
            <w:vMerge w:val="continue"/>
            <w:tcBorders>
              <w:top w:val="nil"/>
              <w:bottom w:val="nil"/>
            </w:tcBorders>
            <w:vAlign w:val="center"/>
          </w:tcPr>
          <w:p w14:paraId="3F2D27D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4DE554A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利用人工智能技术采集学生状态或构建多维智能评价体系，形成动态教学</w:t>
            </w:r>
            <w:r>
              <w:rPr>
                <w:rFonts w:ascii="Times New Roman" w:hAnsi="Times New Roman" w:eastAsia="仿宋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过程性、数据化分析。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3CED025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 w:hanging="70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04C79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04C2A0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137847D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结合所授课程特点、思维方法和价值理念，利用人工智能技术呈现课程思</w:t>
            </w:r>
            <w:r>
              <w:rPr>
                <w:rFonts w:ascii="Times New Roman" w:hAnsi="Times New Roman" w:eastAsia="仿宋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政元素，实现</w:t>
            </w:r>
            <w:r>
              <w:rPr>
                <w:rFonts w:hint="eastAsia" w:ascii="Times New Roman" w:hAnsi="Times New Roman" w:eastAsia="仿宋" w:cs="Times New Roman"/>
                <w:spacing w:val="-1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润物无声</w:t>
            </w:r>
            <w:r>
              <w:rPr>
                <w:rFonts w:hint="eastAsia" w:ascii="Times New Roman" w:hAnsi="Times New Roman" w:eastAsia="仿宋" w:cs="Times New Roman"/>
                <w:spacing w:val="-1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的育人效果。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04B1D01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hanging="80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62835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  <w:jc w:val="center"/>
        </w:trPr>
        <w:tc>
          <w:tcPr>
            <w:tcW w:w="1474" w:type="dxa"/>
            <w:vMerge w:val="restart"/>
            <w:tcBorders>
              <w:bottom w:val="nil"/>
            </w:tcBorders>
            <w:vAlign w:val="center"/>
          </w:tcPr>
          <w:p w14:paraId="7CB80CE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教学效果</w:t>
            </w:r>
          </w:p>
        </w:tc>
        <w:tc>
          <w:tcPr>
            <w:tcW w:w="7257" w:type="dxa"/>
            <w:vAlign w:val="center"/>
          </w:tcPr>
          <w:p w14:paraId="143B6D9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6"/>
                <w:sz w:val="24"/>
                <w:szCs w:val="24"/>
              </w:rPr>
              <w:t>教学效率提高，学生思维活跃，深度参与课堂教学，课</w:t>
            </w:r>
            <w:r>
              <w:rPr>
                <w:rFonts w:ascii="Times New Roman" w:hAnsi="Times New Roman" w:eastAsia="仿宋" w:cs="Times New Roman"/>
                <w:spacing w:val="-7"/>
                <w:sz w:val="24"/>
                <w:szCs w:val="24"/>
              </w:rPr>
              <w:t>堂外教学过程合理，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6"/>
                <w:sz w:val="24"/>
                <w:szCs w:val="24"/>
              </w:rPr>
              <w:t>主动合理运用人工智能工具进行探索、创造和协作，</w:t>
            </w:r>
            <w:r>
              <w:rPr>
                <w:rFonts w:ascii="Times New Roman" w:hAnsi="Times New Roman" w:eastAsia="仿宋" w:cs="Times New Roman"/>
                <w:color w:val="202060"/>
                <w:spacing w:val="-6"/>
                <w:sz w:val="24"/>
                <w:szCs w:val="24"/>
              </w:rPr>
              <w:t>学</w:t>
            </w:r>
            <w:r>
              <w:rPr>
                <w:rFonts w:ascii="Times New Roman" w:hAnsi="Times New Roman" w:eastAsia="仿宋" w:cs="Times New Roman"/>
                <w:color w:val="202060"/>
                <w:spacing w:val="-7"/>
                <w:sz w:val="24"/>
                <w:szCs w:val="24"/>
              </w:rPr>
              <w:t>生</w:t>
            </w:r>
            <w:r>
              <w:rPr>
                <w:rFonts w:ascii="Times New Roman" w:hAnsi="Times New Roman" w:eastAsia="仿宋" w:cs="Times New Roman"/>
                <w:spacing w:val="-7"/>
                <w:sz w:val="24"/>
                <w:szCs w:val="24"/>
              </w:rPr>
              <w:t>的学科专业能力、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 xml:space="preserve"> 创新思维、人机协同能力得到有效提升，实现教学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目标。</w:t>
            </w:r>
          </w:p>
        </w:tc>
        <w:tc>
          <w:tcPr>
            <w:tcW w:w="907" w:type="dxa"/>
            <w:vMerge w:val="restart"/>
            <w:vAlign w:val="center"/>
          </w:tcPr>
          <w:p w14:paraId="158EE6F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8分</w:t>
            </w:r>
          </w:p>
        </w:tc>
      </w:tr>
      <w:tr w14:paraId="10EF0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74" w:type="dxa"/>
            <w:vMerge w:val="continue"/>
            <w:tcBorders>
              <w:top w:val="nil"/>
            </w:tcBorders>
            <w:vAlign w:val="center"/>
          </w:tcPr>
          <w:p w14:paraId="4FC9F0F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7" w:type="dxa"/>
            <w:vAlign w:val="center"/>
          </w:tcPr>
          <w:p w14:paraId="037B92A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形成适合学科特色、学生特点的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人工智能+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课堂教学模式，具有较大</w:t>
            </w:r>
            <w:r>
              <w:rPr>
                <w:rFonts w:ascii="Times New Roman" w:hAnsi="Times New Roman" w:eastAsia="仿宋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1"/>
                <w:sz w:val="24"/>
                <w:szCs w:val="24"/>
              </w:rPr>
              <w:t>借鉴和推广价值。</w:t>
            </w:r>
          </w:p>
        </w:tc>
        <w:tc>
          <w:tcPr>
            <w:tcW w:w="907" w:type="dxa"/>
            <w:vMerge w:val="continue"/>
            <w:tcBorders/>
            <w:vAlign w:val="center"/>
          </w:tcPr>
          <w:p w14:paraId="41E3F93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63" w:hanging="40"/>
              <w:jc w:val="center"/>
              <w:textAlignment w:val="baseline"/>
              <w:rPr>
                <w:rFonts w:ascii="Times New Roman" w:hAnsi="Times New Roman" w:eastAsia="黑体" w:cs="Times New Roman"/>
                <w:spacing w:val="0"/>
                <w:sz w:val="24"/>
                <w:szCs w:val="24"/>
              </w:rPr>
            </w:pPr>
          </w:p>
        </w:tc>
      </w:tr>
      <w:tr w14:paraId="28FC9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474" w:type="dxa"/>
            <w:vAlign w:val="center"/>
          </w:tcPr>
          <w:p w14:paraId="5722017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视频质量</w:t>
            </w:r>
          </w:p>
        </w:tc>
        <w:tc>
          <w:tcPr>
            <w:tcW w:w="7257" w:type="dxa"/>
            <w:vAlign w:val="center"/>
          </w:tcPr>
          <w:p w14:paraId="512CCAB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教学视频清晰、流畅，能客观、真实反映教师和学生的教学过程常态。</w:t>
            </w:r>
          </w:p>
        </w:tc>
        <w:tc>
          <w:tcPr>
            <w:tcW w:w="907" w:type="dxa"/>
            <w:vAlign w:val="center"/>
          </w:tcPr>
          <w:p w14:paraId="45935ED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78A4D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74" w:type="dxa"/>
            <w:vAlign w:val="center"/>
          </w:tcPr>
          <w:p w14:paraId="24B02CC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7257" w:type="dxa"/>
            <w:vAlign w:val="center"/>
          </w:tcPr>
          <w:p w14:paraId="2F29983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textAlignment w:val="baseline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7E6F3D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40分</w:t>
            </w:r>
          </w:p>
        </w:tc>
      </w:tr>
    </w:tbl>
    <w:p w14:paraId="5A94DE0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Lines="50" w:after="0" w:line="360" w:lineRule="auto"/>
        <w:ind w:left="0" w:right="0" w:firstLine="640" w:firstLineChars="200"/>
        <w:jc w:val="both"/>
        <w:textAlignment w:val="baseline"/>
        <w:outlineLvl w:val="1"/>
        <w:rPr>
          <w:rFonts w:ascii="宋体" w:hAnsi="宋体" w:eastAsia="宋体" w:cs="宋体"/>
          <w:sz w:val="34"/>
          <w:szCs w:val="34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(二)人工智能创新成果报告(20分)</w:t>
      </w:r>
    </w:p>
    <w:tbl>
      <w:tblPr>
        <w:tblStyle w:val="6"/>
        <w:tblW w:w="9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7245"/>
        <w:gridCol w:w="926"/>
      </w:tblGrid>
      <w:tr w14:paraId="1984F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67" w:type="dxa"/>
            <w:vAlign w:val="center"/>
          </w:tcPr>
          <w:p w14:paraId="0D0AEB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</w:rPr>
              <w:t>评价维度</w:t>
            </w:r>
          </w:p>
        </w:tc>
        <w:tc>
          <w:tcPr>
            <w:tcW w:w="7245" w:type="dxa"/>
            <w:vAlign w:val="center"/>
          </w:tcPr>
          <w:p w14:paraId="7E70C9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</w:rPr>
              <w:t>评价要点</w:t>
            </w:r>
          </w:p>
        </w:tc>
        <w:tc>
          <w:tcPr>
            <w:tcW w:w="926" w:type="dxa"/>
            <w:vAlign w:val="center"/>
          </w:tcPr>
          <w:p w14:paraId="1341EE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0"/>
                <w:sz w:val="28"/>
                <w:szCs w:val="28"/>
                <w:lang w:val="en-US" w:eastAsia="zh-CN"/>
              </w:rPr>
              <w:t>分值</w:t>
            </w:r>
          </w:p>
        </w:tc>
      </w:tr>
      <w:tr w14:paraId="5218D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  <w:jc w:val="center"/>
        </w:trPr>
        <w:tc>
          <w:tcPr>
            <w:tcW w:w="1467" w:type="dxa"/>
            <w:vAlign w:val="center"/>
          </w:tcPr>
          <w:p w14:paraId="33DEB9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有明确的</w:t>
            </w:r>
          </w:p>
          <w:p w14:paraId="34FC84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"/>
                <w:sz w:val="24"/>
                <w:szCs w:val="24"/>
              </w:rPr>
              <w:t>问题导向</w:t>
            </w:r>
          </w:p>
        </w:tc>
        <w:tc>
          <w:tcPr>
            <w:tcW w:w="7245" w:type="dxa"/>
            <w:vAlign w:val="center"/>
          </w:tcPr>
          <w:p w14:paraId="1BF8D23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结合新时代人才培养与课程建设目标，提出课程教学真挑战与真问题， 能体现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以学生为中心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的理念，提出运用人工智能技术解决问题的思路与方案，且具有针对性和可行性。</w:t>
            </w:r>
          </w:p>
        </w:tc>
        <w:tc>
          <w:tcPr>
            <w:tcW w:w="926" w:type="dxa"/>
            <w:vAlign w:val="center"/>
          </w:tcPr>
          <w:p w14:paraId="426558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79A05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467" w:type="dxa"/>
            <w:vAlign w:val="center"/>
          </w:tcPr>
          <w:p w14:paraId="3CD208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有明显的</w:t>
            </w:r>
          </w:p>
          <w:p w14:paraId="4A50F5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创新特色</w:t>
            </w:r>
          </w:p>
        </w:tc>
        <w:tc>
          <w:tcPr>
            <w:tcW w:w="7245" w:type="dxa"/>
            <w:vAlign w:val="center"/>
          </w:tcPr>
          <w:p w14:paraId="6255CA6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在推动人工智能赋能教学范式变革方面特色突出，体现对教学活动的系统性重新设计或部分教学环节突出的变革性，展现深刻的教育洞察力，而非技术的简单堆砌，具有显著的创新性、前瞻性和示范引领作用。</w:t>
            </w:r>
          </w:p>
        </w:tc>
        <w:tc>
          <w:tcPr>
            <w:tcW w:w="926" w:type="dxa"/>
            <w:vAlign w:val="center"/>
          </w:tcPr>
          <w:p w14:paraId="28FF96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37498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  <w:jc w:val="center"/>
        </w:trPr>
        <w:tc>
          <w:tcPr>
            <w:tcW w:w="1467" w:type="dxa"/>
            <w:vAlign w:val="center"/>
          </w:tcPr>
          <w:p w14:paraId="64E0B0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体现课程</w:t>
            </w:r>
          </w:p>
          <w:p w14:paraId="5B5A75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6"/>
                <w:sz w:val="24"/>
                <w:szCs w:val="24"/>
              </w:rPr>
              <w:t>思政特色</w:t>
            </w:r>
          </w:p>
        </w:tc>
        <w:tc>
          <w:tcPr>
            <w:tcW w:w="7245" w:type="dxa"/>
            <w:vAlign w:val="center"/>
          </w:tcPr>
          <w:p w14:paraId="5635A48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能够准确把握课程思政内涵，将价值塑造、知识传授和能力培养融为一体，引导学生树立正确的技术伦理观、社会责任感和可持续发展理念等， 培养负责任的创新精神。</w:t>
            </w:r>
          </w:p>
        </w:tc>
        <w:tc>
          <w:tcPr>
            <w:tcW w:w="926" w:type="dxa"/>
            <w:vAlign w:val="center"/>
          </w:tcPr>
          <w:p w14:paraId="497CEF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6A527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67" w:type="dxa"/>
            <w:vAlign w:val="center"/>
          </w:tcPr>
          <w:p w14:paraId="42311C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创新构建</w:t>
            </w:r>
          </w:p>
          <w:p w14:paraId="1A277F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教学环境</w:t>
            </w:r>
          </w:p>
        </w:tc>
        <w:tc>
          <w:tcPr>
            <w:tcW w:w="7245" w:type="dxa"/>
            <w:vAlign w:val="center"/>
          </w:tcPr>
          <w:p w14:paraId="7FF48E0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构建基于人工智能技术的学习环境，支撑主动学习或高效教学和高效学习，为学生提供详细的操作指南，场景设计具有真实性与有效性。</w:t>
            </w:r>
          </w:p>
        </w:tc>
        <w:tc>
          <w:tcPr>
            <w:tcW w:w="926" w:type="dxa"/>
            <w:vAlign w:val="center"/>
          </w:tcPr>
          <w:p w14:paraId="311C33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4分</w:t>
            </w:r>
          </w:p>
        </w:tc>
      </w:tr>
      <w:tr w14:paraId="2C6F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  <w:jc w:val="center"/>
        </w:trPr>
        <w:tc>
          <w:tcPr>
            <w:tcW w:w="1467" w:type="dxa"/>
            <w:vAlign w:val="center"/>
          </w:tcPr>
          <w:p w14:paraId="35917B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关注技术</w:t>
            </w:r>
          </w:p>
          <w:p w14:paraId="2F8AC9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4"/>
                <w:szCs w:val="24"/>
              </w:rPr>
              <w:t>应用于教学</w:t>
            </w:r>
          </w:p>
        </w:tc>
        <w:tc>
          <w:tcPr>
            <w:tcW w:w="7245" w:type="dxa"/>
            <w:vAlign w:val="center"/>
          </w:tcPr>
          <w:p w14:paraId="0871C52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能够把握学生学习时代特点，合理利用人工智能技术规划教学全流程场 景，对课程的教学目标、内容、方法、环境、评价进行系统性设计与创 新，有效实现大规模因材施教。</w:t>
            </w:r>
          </w:p>
        </w:tc>
        <w:tc>
          <w:tcPr>
            <w:tcW w:w="926" w:type="dxa"/>
            <w:vAlign w:val="center"/>
          </w:tcPr>
          <w:p w14:paraId="1E3881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2分</w:t>
            </w:r>
          </w:p>
        </w:tc>
      </w:tr>
      <w:tr w14:paraId="271AA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  <w:jc w:val="center"/>
        </w:trPr>
        <w:tc>
          <w:tcPr>
            <w:tcW w:w="1467" w:type="dxa"/>
            <w:vAlign w:val="center"/>
          </w:tcPr>
          <w:p w14:paraId="5A8F66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注重创新</w:t>
            </w:r>
          </w:p>
          <w:p w14:paraId="702074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成果的辐射</w:t>
            </w:r>
          </w:p>
        </w:tc>
        <w:tc>
          <w:tcPr>
            <w:tcW w:w="7245" w:type="dxa"/>
            <w:vAlign w:val="center"/>
          </w:tcPr>
          <w:p w14:paraId="72DBACC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对人工智能赋能教学创新实践成效开展基于证据的有效分析与总结，能 为同类课程的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人工智能+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教学改革提供可复制、可借鉴的路径与模 式。</w:t>
            </w:r>
          </w:p>
        </w:tc>
        <w:tc>
          <w:tcPr>
            <w:tcW w:w="926" w:type="dxa"/>
            <w:vAlign w:val="center"/>
          </w:tcPr>
          <w:p w14:paraId="1CFD2B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2分</w:t>
            </w:r>
          </w:p>
        </w:tc>
      </w:tr>
      <w:tr w14:paraId="0A9A9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67" w:type="dxa"/>
            <w:vAlign w:val="center"/>
          </w:tcPr>
          <w:p w14:paraId="2E2205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  <w:lang w:val="en-US" w:eastAsia="zh-CN"/>
              </w:rPr>
              <w:t>分  值</w:t>
            </w:r>
          </w:p>
        </w:tc>
        <w:tc>
          <w:tcPr>
            <w:tcW w:w="7245" w:type="dxa"/>
            <w:vAlign w:val="top"/>
          </w:tcPr>
          <w:p w14:paraId="7C6DC067">
            <w:pPr>
              <w:pStyle w:val="7"/>
              <w:spacing w:before="88" w:line="309" w:lineRule="auto"/>
              <w:ind w:left="82" w:right="52" w:hanging="50"/>
              <w:jc w:val="both"/>
            </w:pPr>
          </w:p>
        </w:tc>
        <w:tc>
          <w:tcPr>
            <w:tcW w:w="926" w:type="dxa"/>
            <w:vAlign w:val="center"/>
          </w:tcPr>
          <w:p w14:paraId="0D70F8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pacing w:val="0"/>
                <w:sz w:val="24"/>
                <w:szCs w:val="24"/>
                <w:lang w:val="en-US" w:eastAsia="zh-CN"/>
              </w:rPr>
              <w:t>20分</w:t>
            </w:r>
          </w:p>
        </w:tc>
      </w:tr>
    </w:tbl>
    <w:p w14:paraId="4352D7E6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="0" w:beforeLines="50" w:line="360" w:lineRule="auto"/>
        <w:ind w:left="0" w:right="0" w:firstLine="640" w:firstLineChars="200"/>
        <w:jc w:val="both"/>
        <w:textAlignment w:val="baseline"/>
        <w:outlineLvl w:val="1"/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spacing w:val="0"/>
          <w:sz w:val="32"/>
          <w:szCs w:val="32"/>
          <w:lang w:eastAsia="zh-CN"/>
        </w:rPr>
        <w:t>(三)教学设计创新汇报(40分)</w:t>
      </w:r>
    </w:p>
    <w:p w14:paraId="4819A3AB">
      <w:pPr>
        <w:spacing w:line="58" w:lineRule="auto"/>
        <w:rPr>
          <w:rFonts w:ascii="Arial"/>
          <w:sz w:val="2"/>
        </w:rPr>
      </w:pPr>
    </w:p>
    <w:tbl>
      <w:tblPr>
        <w:tblStyle w:val="6"/>
        <w:tblW w:w="9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2"/>
        <w:gridCol w:w="7215"/>
        <w:gridCol w:w="941"/>
      </w:tblGrid>
      <w:tr w14:paraId="22AEE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82" w:type="dxa"/>
            <w:tcBorders>
              <w:bottom w:val="single" w:color="auto" w:sz="4" w:space="0"/>
            </w:tcBorders>
            <w:vAlign w:val="center"/>
          </w:tcPr>
          <w:p w14:paraId="50D132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/>
                <w:b w:val="0"/>
                <w:bCs w:val="0"/>
                <w:spacing w:val="0"/>
                <w:sz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spacing w:val="0"/>
                <w:sz w:val="28"/>
              </w:rPr>
              <w:t>评价维度</w:t>
            </w:r>
          </w:p>
        </w:tc>
        <w:tc>
          <w:tcPr>
            <w:tcW w:w="7215" w:type="dxa"/>
            <w:tcBorders>
              <w:bottom w:val="single" w:color="auto" w:sz="4" w:space="0"/>
            </w:tcBorders>
            <w:vAlign w:val="center"/>
          </w:tcPr>
          <w:p w14:paraId="4DB4FC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/>
                <w:b w:val="0"/>
                <w:bCs w:val="0"/>
                <w:spacing w:val="0"/>
                <w:sz w:val="28"/>
              </w:rPr>
            </w:pPr>
            <w:r>
              <w:rPr>
                <w:rFonts w:ascii="Times New Roman" w:hAnsi="Times New Roman" w:eastAsia="黑体"/>
                <w:b w:val="0"/>
                <w:bCs w:val="0"/>
                <w:spacing w:val="0"/>
                <w:sz w:val="28"/>
              </w:rPr>
              <w:t>评价要点</w:t>
            </w:r>
          </w:p>
        </w:tc>
        <w:tc>
          <w:tcPr>
            <w:tcW w:w="941" w:type="dxa"/>
            <w:tcBorders>
              <w:bottom w:val="single" w:color="auto" w:sz="4" w:space="0"/>
            </w:tcBorders>
            <w:vAlign w:val="center"/>
          </w:tcPr>
          <w:p w14:paraId="738130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黑体"/>
                <w:b w:val="0"/>
                <w:bCs w:val="0"/>
                <w:spacing w:val="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 w:val="0"/>
                <w:spacing w:val="0"/>
                <w:sz w:val="28"/>
                <w:lang w:val="en-US" w:eastAsia="zh-CN"/>
              </w:rPr>
              <w:t>分值</w:t>
            </w:r>
          </w:p>
        </w:tc>
      </w:tr>
      <w:tr w14:paraId="0F7C1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C1A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理念与目标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30D4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课程设计体现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以学生为中心</w:t>
            </w:r>
            <w:r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的理念，教学目标符合学科特点和学生实 际；紧扣人工智能时代特征，带动教学模式创新，着重培养面向未来的学 科核心素养、数字素养、跨界融合能力、创新思维与人机协同能力。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33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5分</w:t>
            </w:r>
          </w:p>
        </w:tc>
      </w:tr>
      <w:tr w14:paraId="2C026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092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  <w:t>内容分析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C49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教学内容分析透彻，知识结构清晰，重难点把握准确。能利用人工智能技 术创造性地使用各类教学资源，内容充实精要，适合学生水平，旨在深化认知、促进建构，启发学生思考及问题解决。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C1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5分</w:t>
            </w:r>
          </w:p>
        </w:tc>
      </w:tr>
      <w:tr w14:paraId="3AC7A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755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5"/>
                <w:sz w:val="24"/>
                <w:szCs w:val="24"/>
              </w:rPr>
              <w:t>学情分析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792F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基于数据准确描述学生的认知特点和起点水平，合理分析学习习惯和数字 化等能力，为人工智能支持的差异化教学和个性化干预提供可靠依据。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3E3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5分</w:t>
            </w:r>
          </w:p>
        </w:tc>
      </w:tr>
      <w:tr w14:paraId="3D88A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557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过程与方法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CAF8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教学方法选择适当，学习活动设计丰富且有意义，充分激发学生的学习积 极性，人工智能工具的使用与教学目标高度契合。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D142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15分</w:t>
            </w:r>
          </w:p>
        </w:tc>
      </w:tr>
      <w:tr w14:paraId="45284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B3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B795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hint="eastAsia" w:ascii="Times New Roman" w:hAnsi="Times New Roman" w:eastAsia="仿宋" w:cs="Times New Roman"/>
                <w:spacing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spacing w:val="0"/>
                <w:sz w:val="24"/>
                <w:szCs w:val="24"/>
              </w:rPr>
              <w:t>教学设计完整，教学过程自然流畅，符合教学规律；人工智能技术的应用贯穿多个教学环节，有突出特色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pacing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2C28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</w:pPr>
          </w:p>
        </w:tc>
      </w:tr>
      <w:tr w14:paraId="1CB00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1402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2D2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b/>
                <w:bCs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能根据课程特点，用人工智能赋能教学创新的策略、方法、技术，解决学习中存在的问题和困难，促进学生更高效、更个性化的自主学习。</w:t>
            </w:r>
          </w:p>
        </w:tc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3BE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</w:pPr>
          </w:p>
        </w:tc>
      </w:tr>
      <w:tr w14:paraId="5662C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F7B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39CC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合理选择与灵活应用数字技术，创设开放性、交互性、虚实融合的教学环境，支持沉浸式学习和协作探究。</w:t>
            </w:r>
          </w:p>
        </w:tc>
        <w:tc>
          <w:tcPr>
            <w:tcW w:w="9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86E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</w:pPr>
          </w:p>
        </w:tc>
      </w:tr>
      <w:tr w14:paraId="433D4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D71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spacing w:val="-4"/>
                <w:sz w:val="24"/>
                <w:szCs w:val="24"/>
              </w:rPr>
              <w:t>考评与反馈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DD98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采用多元评价方法，合理评价学生知识、能力与思维的发展。将学习分析 与数字技术结合，实现持续性的诊断性反馈，有效支持学生知识掌握、能力发展、思维认知提升及个性化成长。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0CF6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10分</w:t>
            </w:r>
          </w:p>
        </w:tc>
      </w:tr>
      <w:tr w14:paraId="2AFE5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8041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59C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  <w:t>过程性评价与终结性评价相结合，构建多模态、过程性、智能化的教学评 价体系，有适合学科、学生特点的评价规则与标准。</w:t>
            </w:r>
          </w:p>
        </w:tc>
        <w:tc>
          <w:tcPr>
            <w:tcW w:w="9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80F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</w:rPr>
            </w:pPr>
          </w:p>
        </w:tc>
      </w:tr>
      <w:tr w14:paraId="0CDBC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4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E70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lang w:val="en-US" w:eastAsia="zh-CN"/>
              </w:rPr>
              <w:t>总  分</w:t>
            </w:r>
          </w:p>
        </w:tc>
        <w:tc>
          <w:tcPr>
            <w:tcW w:w="7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12B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0" w:beforeLines="50" w:after="0" w:afterLines="25" w:line="240" w:lineRule="auto"/>
              <w:ind w:left="105" w:leftChars="50" w:right="53" w:rightChars="25" w:firstLine="0" w:firstLineChars="0"/>
              <w:jc w:val="left"/>
              <w:textAlignment w:val="baseline"/>
              <w:rPr>
                <w:rFonts w:ascii="Times New Roman" w:hAnsi="Times New Roman" w:eastAsia="仿宋" w:cs="Times New Roman"/>
                <w:spacing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57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40分</w:t>
            </w:r>
          </w:p>
        </w:tc>
      </w:tr>
    </w:tbl>
    <w:p w14:paraId="691CCE9B">
      <w:pPr>
        <w:rPr>
          <w:rFonts w:ascii="Arial"/>
          <w:sz w:val="21"/>
        </w:rPr>
      </w:pPr>
    </w:p>
    <w:sectPr>
      <w:footerReference r:id="rId5" w:type="default"/>
      <w:pgSz w:w="11910" w:h="16840"/>
      <w:pgMar w:top="1431" w:right="1685" w:bottom="969" w:left="1685" w:header="0" w:footer="7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726B2">
    <w:pPr>
      <w:spacing w:line="248" w:lineRule="exact"/>
      <w:ind w:left="4134"/>
      <w:rPr>
        <w:rFonts w:ascii="Arial" w:hAnsi="Arial" w:eastAsia="Arial"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FF6413"/>
    <w:rsid w:val="0B065FC2"/>
    <w:rsid w:val="1582093B"/>
    <w:rsid w:val="22987F9E"/>
    <w:rsid w:val="235B27CC"/>
    <w:rsid w:val="2B795EE5"/>
    <w:rsid w:val="2D202ABC"/>
    <w:rsid w:val="2E206AEC"/>
    <w:rsid w:val="3041682B"/>
    <w:rsid w:val="340071A3"/>
    <w:rsid w:val="3F0044FB"/>
    <w:rsid w:val="41DE4724"/>
    <w:rsid w:val="480C3F11"/>
    <w:rsid w:val="4E061402"/>
    <w:rsid w:val="526D1A50"/>
    <w:rsid w:val="529A65BD"/>
    <w:rsid w:val="61606144"/>
    <w:rsid w:val="7A344A7E"/>
    <w:rsid w:val="7A9674E6"/>
    <w:rsid w:val="7B9635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2738</Words>
  <Characters>2749</Characters>
  <TotalTime>17</TotalTime>
  <ScaleCrop>false</ScaleCrop>
  <LinksUpToDate>false</LinksUpToDate>
  <CharactersWithSpaces>2816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2026-07-06T15:16:00Z</dcterms:created>
  <dc:creator>hbue</dc:creator>
  <cp:lastModifiedBy>项育liuliu</cp:lastModifiedBy>
  <dcterms:modified xsi:type="dcterms:W3CDTF">2026-07-07T07:13:56Z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2026-07-06T15:16:53Z</vt:filetime>
  </property>
  <property fmtid="{D5CDD505-2E9C-101B-9397-08002B2CF9AE}" pid="4" name="UsrData">
    <vt:lpwstr>6a4b5660159852001fc5bfa5wl</vt:lpwstr>
  </property>
  <property fmtid="{D5CDD505-2E9C-101B-9397-08002B2CF9AE}" pid="5" name="KSOTemplateDocerSaveRecord">
    <vt:lpwstr>eyJoZGlkIjoiMjIxY2IxMTkzM2E4Y2UxMmM5ZTk1YzI0NzU3YzQ0YjUiLCJ1c2VySWQiOiIyMzcwMTU0MjcifQ==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8FA15E0DC2C8453190956CD24F9D13B1_12</vt:lpwstr>
  </property>
</Properties>
</file>