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w:t>
      </w:r>
      <w:r>
        <w:rPr>
          <w:rFonts w:hint="eastAsia" w:ascii="Times New Roman" w:hAnsi="Times New Roman" w:eastAsia="黑体"/>
          <w:color w:val="FF0000"/>
          <w:kern w:val="0"/>
          <w:sz w:val="96"/>
          <w:szCs w:val="84"/>
          <w:lang w:eastAsia="zh-CN"/>
        </w:rPr>
        <w:t>例会</w:t>
      </w:r>
      <w:r>
        <w:rPr>
          <w:rFonts w:ascii="Times New Roman" w:hAnsi="Times New Roman" w:eastAsia="黑体"/>
          <w:color w:val="FF0000"/>
          <w:kern w:val="0"/>
          <w:sz w:val="96"/>
          <w:szCs w:val="84"/>
        </w:rPr>
        <w:t>会议纪要</w:t>
      </w:r>
    </w:p>
    <w:p>
      <w:pPr>
        <w:spacing w:line="600" w:lineRule="exact"/>
        <w:rPr>
          <w:rFonts w:ascii="Times New Roman" w:hAnsi="Times New Roman" w:eastAsia="仿宋_GB2312"/>
          <w:color w:val="auto"/>
          <w:sz w:val="32"/>
          <w:szCs w:val="32"/>
        </w:rPr>
      </w:pPr>
    </w:p>
    <w:p>
      <w:pPr>
        <w:spacing w:line="600" w:lineRule="exact"/>
        <w:jc w:val="center"/>
        <w:rPr>
          <w:rFonts w:ascii="Times New Roman" w:hAnsi="Times New Roman" w:eastAsia="仿宋"/>
          <w:color w:val="auto"/>
          <w:sz w:val="32"/>
          <w:szCs w:val="32"/>
        </w:rPr>
      </w:pPr>
      <w:r>
        <w:rPr>
          <w:rFonts w:ascii="Times New Roman" w:hAnsi="Times New Roman" w:eastAsia="仿宋"/>
          <w:color w:val="auto"/>
          <w:sz w:val="32"/>
          <w:szCs w:val="32"/>
        </w:rPr>
        <w:t>（20</w:t>
      </w:r>
      <w:r>
        <w:rPr>
          <w:rFonts w:hint="eastAsia" w:ascii="Times New Roman" w:hAnsi="Times New Roman" w:eastAsia="仿宋"/>
          <w:color w:val="auto"/>
          <w:sz w:val="32"/>
          <w:szCs w:val="32"/>
        </w:rPr>
        <w:t>2</w:t>
      </w:r>
      <w:r>
        <w:rPr>
          <w:rFonts w:hint="eastAsia" w:ascii="Times New Roman" w:hAnsi="Times New Roman" w:eastAsia="仿宋"/>
          <w:color w:val="auto"/>
          <w:sz w:val="32"/>
          <w:szCs w:val="32"/>
          <w:lang w:val="en-US" w:eastAsia="zh-CN"/>
        </w:rPr>
        <w:t>2</w:t>
      </w:r>
      <w:r>
        <w:rPr>
          <w:rFonts w:ascii="Times New Roman" w:hAnsi="Times New Roman" w:eastAsia="仿宋"/>
          <w:color w:val="auto"/>
          <w:sz w:val="32"/>
          <w:szCs w:val="32"/>
        </w:rPr>
        <w:t>）第</w:t>
      </w:r>
      <w:r>
        <w:rPr>
          <w:rFonts w:hint="eastAsia" w:ascii="Times New Roman" w:hAnsi="Times New Roman" w:eastAsia="仿宋"/>
          <w:color w:val="auto"/>
          <w:sz w:val="32"/>
          <w:szCs w:val="32"/>
          <w:lang w:val="en-US" w:eastAsia="zh-CN"/>
        </w:rPr>
        <w:t>3</w:t>
      </w:r>
      <w:r>
        <w:rPr>
          <w:rFonts w:ascii="Times New Roman" w:hAnsi="Times New Roman" w:eastAsia="仿宋"/>
          <w:color w:val="auto"/>
          <w:sz w:val="32"/>
          <w:szCs w:val="32"/>
        </w:rPr>
        <w:t>号</w:t>
      </w:r>
    </w:p>
    <w:p>
      <w:pPr>
        <w:spacing w:line="600" w:lineRule="exact"/>
        <w:rPr>
          <w:rFonts w:ascii="Times New Roman" w:hAnsi="Times New Roman" w:eastAsia="仿宋"/>
          <w:color w:val="auto"/>
          <w:sz w:val="32"/>
          <w:szCs w:val="32"/>
        </w:rPr>
      </w:pPr>
    </w:p>
    <w:p>
      <w:pPr>
        <w:spacing w:line="600" w:lineRule="exact"/>
        <w:jc w:val="center"/>
        <w:rPr>
          <w:rFonts w:ascii="Times New Roman" w:hAnsi="Times New Roman" w:eastAsia="仿宋"/>
          <w:color w:val="auto"/>
          <w:kern w:val="0"/>
          <w:sz w:val="32"/>
          <w:szCs w:val="32"/>
        </w:rPr>
      </w:pPr>
      <w:r>
        <w:rPr>
          <w:rFonts w:hint="eastAsia" w:ascii="Times New Roman" w:hAnsi="Times New Roman" w:eastAsia="仿宋"/>
          <w:color w:val="auto"/>
          <w:sz w:val="32"/>
          <w:szCs w:val="32"/>
        </w:rPr>
        <w:t>教务处</w:t>
      </w:r>
      <w:r>
        <w:rPr>
          <w:rFonts w:ascii="Times New Roman" w:hAnsi="Times New Roman" w:eastAsia="仿宋"/>
          <w:color w:val="auto"/>
          <w:sz w:val="32"/>
          <w:szCs w:val="32"/>
        </w:rPr>
        <w:t xml:space="preserve">           </w:t>
      </w:r>
      <w:r>
        <w:rPr>
          <w:rFonts w:hint="eastAsia" w:ascii="Times New Roman" w:hAnsi="Times New Roman" w:eastAsia="仿宋"/>
          <w:color w:val="auto"/>
          <w:sz w:val="32"/>
          <w:szCs w:val="32"/>
        </w:rPr>
        <w:t xml:space="preserve"> </w:t>
      </w:r>
      <w:r>
        <w:rPr>
          <w:rFonts w:ascii="Times New Roman" w:hAnsi="Times New Roman" w:eastAsia="仿宋"/>
          <w:color w:val="auto"/>
          <w:sz w:val="32"/>
          <w:szCs w:val="32"/>
        </w:rPr>
        <w:t xml:space="preserve">           20</w:t>
      </w:r>
      <w:r>
        <w:rPr>
          <w:rFonts w:hint="eastAsia" w:ascii="Times New Roman" w:hAnsi="Times New Roman" w:eastAsia="仿宋"/>
          <w:color w:val="auto"/>
          <w:sz w:val="32"/>
          <w:szCs w:val="32"/>
        </w:rPr>
        <w:t>2</w:t>
      </w:r>
      <w:r>
        <w:rPr>
          <w:rFonts w:hint="eastAsia" w:ascii="Times New Roman" w:hAnsi="Times New Roman" w:eastAsia="仿宋"/>
          <w:color w:val="auto"/>
          <w:sz w:val="32"/>
          <w:szCs w:val="32"/>
          <w:lang w:val="en-US" w:eastAsia="zh-CN"/>
        </w:rPr>
        <w:t>2</w:t>
      </w:r>
      <w:r>
        <w:rPr>
          <w:rFonts w:ascii="Times New Roman" w:hAnsi="Times New Roman" w:eastAsia="仿宋"/>
          <w:color w:val="auto"/>
          <w:sz w:val="32"/>
          <w:szCs w:val="32"/>
        </w:rPr>
        <w:t>年</w:t>
      </w:r>
      <w:r>
        <w:rPr>
          <w:rFonts w:hint="eastAsia" w:ascii="Times New Roman" w:hAnsi="Times New Roman" w:eastAsia="仿宋"/>
          <w:color w:val="auto"/>
          <w:sz w:val="32"/>
          <w:szCs w:val="32"/>
          <w:lang w:val="en-US" w:eastAsia="zh-CN"/>
        </w:rPr>
        <w:t>5</w:t>
      </w:r>
      <w:r>
        <w:rPr>
          <w:rFonts w:ascii="Times New Roman" w:hAnsi="Times New Roman" w:eastAsia="仿宋"/>
          <w:color w:val="auto"/>
          <w:sz w:val="32"/>
          <w:szCs w:val="32"/>
        </w:rPr>
        <w:t>月</w:t>
      </w:r>
      <w:r>
        <w:rPr>
          <w:rFonts w:hint="eastAsia" w:ascii="Times New Roman" w:hAnsi="Times New Roman" w:eastAsia="仿宋"/>
          <w:color w:val="auto"/>
          <w:sz w:val="32"/>
          <w:szCs w:val="32"/>
          <w:lang w:val="en-US" w:eastAsia="zh-CN"/>
        </w:rPr>
        <w:t>16</w:t>
      </w:r>
      <w:r>
        <w:rPr>
          <w:rFonts w:ascii="Times New Roman" w:hAnsi="Times New Roman" w:eastAsia="仿宋"/>
          <w:color w:val="auto"/>
          <w:sz w:val="32"/>
          <w:szCs w:val="32"/>
        </w:rPr>
        <w:t>日</w:t>
      </w:r>
    </w:p>
    <w:p>
      <w:pPr>
        <w:widowControl/>
        <w:spacing w:line="262" w:lineRule="atLeast"/>
        <w:jc w:val="left"/>
        <w:rPr>
          <w:rFonts w:ascii="Times New Roman" w:hAnsi="Times New Roman" w:eastAsia="仿宋"/>
          <w:color w:val="auto"/>
          <w:sz w:val="32"/>
        </w:rPr>
      </w:pPr>
      <w:r>
        <w:rPr>
          <w:rFonts w:ascii="Times New Roman" w:hAnsi="Times New Roman" w:eastAsia="仿宋"/>
          <w:color w:val="auto"/>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val="en-US" w:eastAsia="zh-CN"/>
        </w:rPr>
        <w:t>5</w:t>
      </w:r>
      <w:r>
        <w:rPr>
          <w:rFonts w:ascii="仿宋" w:hAnsi="仿宋" w:eastAsia="仿宋"/>
          <w:color w:val="auto"/>
          <w:sz w:val="32"/>
          <w:szCs w:val="32"/>
        </w:rPr>
        <w:t>月</w:t>
      </w:r>
      <w:r>
        <w:rPr>
          <w:rFonts w:hint="eastAsia" w:ascii="仿宋" w:hAnsi="仿宋" w:eastAsia="仿宋"/>
          <w:color w:val="auto"/>
          <w:sz w:val="32"/>
          <w:szCs w:val="32"/>
          <w:lang w:val="en-US" w:eastAsia="zh-CN"/>
        </w:rPr>
        <w:t>12</w:t>
      </w:r>
      <w:r>
        <w:rPr>
          <w:rFonts w:ascii="仿宋" w:hAnsi="仿宋" w:eastAsia="仿宋"/>
          <w:color w:val="auto"/>
          <w:sz w:val="32"/>
          <w:szCs w:val="32"/>
        </w:rPr>
        <w:t>日</w:t>
      </w:r>
      <w:r>
        <w:rPr>
          <w:rFonts w:hint="eastAsia" w:ascii="仿宋" w:hAnsi="仿宋" w:eastAsia="仿宋"/>
          <w:color w:val="auto"/>
          <w:sz w:val="32"/>
          <w:szCs w:val="32"/>
          <w:lang w:eastAsia="zh-CN"/>
        </w:rPr>
        <w:t>上午</w:t>
      </w:r>
      <w:r>
        <w:rPr>
          <w:rFonts w:hint="eastAsia" w:ascii="仿宋" w:hAnsi="仿宋" w:eastAsia="仿宋"/>
          <w:color w:val="auto"/>
          <w:sz w:val="32"/>
          <w:szCs w:val="32"/>
          <w:lang w:val="en-US" w:eastAsia="zh-CN"/>
        </w:rPr>
        <w:t>10:50</w:t>
      </w:r>
      <w:r>
        <w:rPr>
          <w:rFonts w:ascii="仿宋" w:hAnsi="仿宋" w:eastAsia="仿宋"/>
          <w:color w:val="auto"/>
          <w:sz w:val="32"/>
          <w:szCs w:val="32"/>
        </w:rPr>
        <w:t>，</w:t>
      </w:r>
      <w:r>
        <w:rPr>
          <w:rFonts w:hint="eastAsia" w:ascii="仿宋" w:hAnsi="仿宋" w:eastAsia="仿宋"/>
          <w:color w:val="auto"/>
          <w:sz w:val="32"/>
          <w:szCs w:val="32"/>
        </w:rPr>
        <w:t>在</w:t>
      </w:r>
      <w:r>
        <w:rPr>
          <w:rFonts w:hint="eastAsia" w:ascii="仿宋" w:hAnsi="仿宋" w:eastAsia="仿宋"/>
          <w:color w:val="auto"/>
          <w:sz w:val="32"/>
          <w:szCs w:val="32"/>
          <w:lang w:val="en-US" w:eastAsia="zh-CN"/>
        </w:rPr>
        <w:t>J2-207</w:t>
      </w:r>
      <w:r>
        <w:rPr>
          <w:rFonts w:hint="eastAsia" w:ascii="仿宋" w:hAnsi="仿宋" w:eastAsia="仿宋"/>
          <w:color w:val="auto"/>
          <w:sz w:val="32"/>
          <w:szCs w:val="32"/>
        </w:rPr>
        <w:t>，教务处处长陶前功主持</w:t>
      </w:r>
      <w:r>
        <w:rPr>
          <w:rFonts w:ascii="仿宋" w:hAnsi="仿宋" w:eastAsia="仿宋"/>
          <w:color w:val="auto"/>
          <w:sz w:val="32"/>
          <w:szCs w:val="32"/>
        </w:rPr>
        <w:t>召开20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2</w:t>
      </w:r>
      <w:r>
        <w:rPr>
          <w:rFonts w:ascii="仿宋" w:hAnsi="仿宋" w:eastAsia="仿宋"/>
          <w:color w:val="auto"/>
          <w:sz w:val="32"/>
          <w:szCs w:val="32"/>
        </w:rPr>
        <w:t>年</w:t>
      </w:r>
      <w:r>
        <w:rPr>
          <w:rFonts w:hint="eastAsia" w:ascii="仿宋" w:hAnsi="仿宋" w:eastAsia="仿宋"/>
          <w:color w:val="auto"/>
          <w:sz w:val="32"/>
          <w:szCs w:val="32"/>
        </w:rPr>
        <w:t>度</w:t>
      </w:r>
      <w:r>
        <w:rPr>
          <w:rFonts w:ascii="仿宋" w:hAnsi="仿宋" w:eastAsia="仿宋"/>
          <w:color w:val="auto"/>
          <w:sz w:val="32"/>
          <w:szCs w:val="32"/>
        </w:rPr>
        <w:t>第</w:t>
      </w:r>
      <w:r>
        <w:rPr>
          <w:rFonts w:hint="eastAsia" w:ascii="仿宋" w:hAnsi="仿宋" w:eastAsia="仿宋"/>
          <w:color w:val="auto"/>
          <w:sz w:val="32"/>
          <w:szCs w:val="32"/>
          <w:lang w:eastAsia="zh-CN"/>
        </w:rPr>
        <w:t>三</w:t>
      </w:r>
      <w:r>
        <w:rPr>
          <w:rFonts w:ascii="仿宋" w:hAnsi="仿宋" w:eastAsia="仿宋"/>
          <w:color w:val="auto"/>
          <w:sz w:val="32"/>
          <w:szCs w:val="32"/>
        </w:rPr>
        <w:t>次</w:t>
      </w:r>
      <w:r>
        <w:rPr>
          <w:rFonts w:hint="eastAsia" w:ascii="仿宋" w:hAnsi="仿宋" w:eastAsia="仿宋"/>
          <w:color w:val="auto"/>
          <w:sz w:val="32"/>
          <w:szCs w:val="32"/>
        </w:rPr>
        <w:t>教学工作例会</w:t>
      </w:r>
      <w:r>
        <w:rPr>
          <w:rFonts w:ascii="仿宋" w:hAnsi="仿宋" w:eastAsia="仿宋"/>
          <w:color w:val="auto"/>
          <w:sz w:val="32"/>
          <w:szCs w:val="32"/>
        </w:rPr>
        <w:t>，</w:t>
      </w:r>
      <w:r>
        <w:rPr>
          <w:rFonts w:hint="eastAsia" w:ascii="仿宋" w:hAnsi="仿宋" w:eastAsia="仿宋"/>
          <w:color w:val="auto"/>
          <w:sz w:val="32"/>
          <w:szCs w:val="32"/>
        </w:rPr>
        <w:t>副校长付宏出席会议并讲话，各学院分管教学工作副院长（含继续教育学院、法商学院）、教务处、网教中心、实验教学中心、学工处负责人、教务处各科室负责人、教学督导、教学秘书</w:t>
      </w:r>
      <w:r>
        <w:rPr>
          <w:rFonts w:ascii="仿宋" w:hAnsi="仿宋" w:eastAsia="仿宋"/>
          <w:color w:val="auto"/>
          <w:sz w:val="32"/>
          <w:szCs w:val="32"/>
        </w:rPr>
        <w:t>参加。</w:t>
      </w:r>
      <w:r>
        <w:rPr>
          <w:rFonts w:hint="eastAsia" w:ascii="仿宋" w:hAnsi="仿宋" w:eastAsia="仿宋"/>
          <w:color w:val="auto"/>
          <w:sz w:val="32"/>
          <w:szCs w:val="32"/>
        </w:rPr>
        <w:t>现纪要如下：</w:t>
      </w:r>
    </w:p>
    <w:p>
      <w:pPr>
        <w:spacing w:line="600" w:lineRule="exact"/>
        <w:ind w:firstLine="640" w:firstLineChars="200"/>
        <w:rPr>
          <w:rFonts w:ascii="仿宋" w:hAnsi="仿宋" w:eastAsia="仿宋"/>
          <w:b/>
          <w:color w:val="auto"/>
          <w:sz w:val="32"/>
          <w:szCs w:val="32"/>
        </w:rPr>
      </w:pPr>
      <w:r>
        <w:rPr>
          <w:rFonts w:hint="eastAsia" w:ascii="黑体" w:hAnsi="黑体" w:eastAsia="黑体" w:cs="黑体"/>
          <w:bCs/>
          <w:color w:val="auto"/>
          <w:sz w:val="32"/>
          <w:szCs w:val="32"/>
        </w:rPr>
        <w:t>一、通报202</w:t>
      </w:r>
      <w:r>
        <w:rPr>
          <w:rFonts w:hint="eastAsia" w:ascii="黑体" w:hAnsi="黑体" w:eastAsia="黑体" w:cs="黑体"/>
          <w:bCs/>
          <w:color w:val="auto"/>
          <w:sz w:val="32"/>
          <w:szCs w:val="32"/>
          <w:lang w:val="en-US" w:eastAsia="zh-CN"/>
        </w:rPr>
        <w:t>1</w:t>
      </w:r>
      <w:r>
        <w:rPr>
          <w:rFonts w:hint="eastAsia" w:ascii="黑体" w:hAnsi="黑体" w:eastAsia="黑体" w:cs="黑体"/>
          <w:bCs/>
          <w:color w:val="auto"/>
          <w:sz w:val="32"/>
          <w:szCs w:val="32"/>
        </w:rPr>
        <w:t>-202</w:t>
      </w:r>
      <w:r>
        <w:rPr>
          <w:rFonts w:hint="eastAsia" w:ascii="黑体" w:hAnsi="黑体" w:eastAsia="黑体" w:cs="黑体"/>
          <w:bCs/>
          <w:color w:val="auto"/>
          <w:sz w:val="32"/>
          <w:szCs w:val="32"/>
          <w:lang w:val="en-US" w:eastAsia="zh-CN"/>
        </w:rPr>
        <w:t>2</w:t>
      </w:r>
      <w:r>
        <w:rPr>
          <w:rFonts w:hint="eastAsia" w:ascii="黑体" w:hAnsi="黑体" w:eastAsia="黑体" w:cs="黑体"/>
          <w:bCs/>
          <w:color w:val="auto"/>
          <w:sz w:val="32"/>
          <w:szCs w:val="32"/>
        </w:rPr>
        <w:t>学年第2学期第</w:t>
      </w:r>
      <w:r>
        <w:rPr>
          <w:rFonts w:hint="eastAsia" w:ascii="黑体" w:hAnsi="黑体" w:eastAsia="黑体" w:cs="黑体"/>
          <w:bCs/>
          <w:color w:val="auto"/>
          <w:sz w:val="32"/>
          <w:szCs w:val="32"/>
          <w:lang w:val="en-US" w:eastAsia="zh-CN"/>
        </w:rPr>
        <w:t>6-9</w:t>
      </w:r>
      <w:r>
        <w:rPr>
          <w:rFonts w:hint="eastAsia" w:ascii="黑体" w:hAnsi="黑体" w:eastAsia="黑体" w:cs="黑体"/>
          <w:bCs/>
          <w:color w:val="auto"/>
          <w:sz w:val="32"/>
          <w:szCs w:val="32"/>
        </w:rPr>
        <w:t>周教学督导及教务处日常巡查情况</w:t>
      </w:r>
    </w:p>
    <w:p>
      <w:pPr>
        <w:spacing w:line="580" w:lineRule="exact"/>
        <w:ind w:firstLine="640" w:firstLineChars="200"/>
        <w:rPr>
          <w:rFonts w:hint="eastAsia" w:ascii="黑体" w:hAnsi="黑体" w:eastAsia="仿宋"/>
          <w:b/>
          <w:color w:val="auto"/>
          <w:szCs w:val="32"/>
          <w:lang w:eastAsia="zh-CN"/>
        </w:rPr>
      </w:pPr>
      <w:r>
        <w:rPr>
          <w:rFonts w:hint="eastAsia" w:ascii="仿宋" w:hAnsi="仿宋" w:eastAsia="仿宋" w:cs="仿宋"/>
          <w:color w:val="auto"/>
          <w:sz w:val="32"/>
          <w:szCs w:val="32"/>
        </w:rPr>
        <w:t>本期巡查，教学督导共巡查课堂</w:t>
      </w:r>
      <w:r>
        <w:rPr>
          <w:rFonts w:hint="eastAsia" w:ascii="仿宋" w:hAnsi="仿宋" w:eastAsia="仿宋" w:cs="仿宋"/>
          <w:color w:val="auto"/>
          <w:sz w:val="32"/>
          <w:szCs w:val="32"/>
          <w:lang w:val="en-US" w:eastAsia="zh-CN"/>
        </w:rPr>
        <w:t>443</w:t>
      </w:r>
      <w:r>
        <w:rPr>
          <w:rFonts w:hint="eastAsia" w:ascii="仿宋" w:hAnsi="仿宋" w:eastAsia="仿宋" w:cs="仿宋"/>
          <w:color w:val="auto"/>
          <w:sz w:val="32"/>
          <w:szCs w:val="32"/>
        </w:rPr>
        <w:t>个，听课10</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节，教务处以巡课为主，共巡查课堂</w:t>
      </w:r>
      <w:r>
        <w:rPr>
          <w:rFonts w:hint="eastAsia" w:ascii="仿宋" w:hAnsi="仿宋" w:eastAsia="仿宋" w:cs="仿宋"/>
          <w:color w:val="auto"/>
          <w:sz w:val="32"/>
          <w:szCs w:val="32"/>
          <w:lang w:val="en-US" w:eastAsia="zh-CN"/>
        </w:rPr>
        <w:t>550</w:t>
      </w:r>
      <w:r>
        <w:rPr>
          <w:rFonts w:hint="eastAsia" w:ascii="仿宋" w:hAnsi="仿宋" w:eastAsia="仿宋" w:cs="仿宋"/>
          <w:color w:val="auto"/>
          <w:sz w:val="32"/>
          <w:szCs w:val="32"/>
        </w:rPr>
        <w:t>个，听课</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节，全校教学运行良好，</w:t>
      </w:r>
      <w:r>
        <w:rPr>
          <w:rFonts w:hint="eastAsia" w:ascii="仿宋" w:hAnsi="仿宋" w:eastAsia="仿宋" w:cs="仿宋"/>
          <w:color w:val="auto"/>
          <w:sz w:val="32"/>
          <w:szCs w:val="32"/>
          <w:lang w:eastAsia="zh-CN"/>
        </w:rPr>
        <w:t>保障有力，</w:t>
      </w:r>
      <w:r>
        <w:rPr>
          <w:rFonts w:hint="eastAsia" w:ascii="仿宋" w:hAnsi="仿宋" w:eastAsia="仿宋" w:cs="仿宋"/>
          <w:color w:val="auto"/>
          <w:sz w:val="32"/>
          <w:szCs w:val="32"/>
        </w:rPr>
        <w:t>秩序井然。</w:t>
      </w:r>
      <w:r>
        <w:rPr>
          <w:rFonts w:hint="eastAsia" w:ascii="仿宋" w:hAnsi="仿宋" w:eastAsia="仿宋" w:cs="仿宋"/>
          <w:color w:val="auto"/>
          <w:sz w:val="32"/>
          <w:szCs w:val="32"/>
          <w:lang w:eastAsia="zh-CN"/>
        </w:rPr>
        <w:t>教师教学资料齐备，教学内容充实，课堂教学效果较好。</w:t>
      </w:r>
      <w:r>
        <w:rPr>
          <w:rFonts w:hint="eastAsia" w:ascii="仿宋" w:hAnsi="仿宋" w:eastAsia="仿宋" w:cs="仿宋"/>
          <w:color w:val="auto"/>
          <w:sz w:val="32"/>
          <w:szCs w:val="32"/>
        </w:rPr>
        <w:t>大部分</w:t>
      </w:r>
      <w:r>
        <w:rPr>
          <w:rFonts w:hint="eastAsia" w:ascii="仿宋" w:hAnsi="仿宋" w:eastAsia="仿宋" w:cs="仿宋"/>
          <w:color w:val="auto"/>
          <w:sz w:val="32"/>
          <w:szCs w:val="32"/>
          <w:lang w:eastAsia="zh-CN"/>
        </w:rPr>
        <w:t>课堂纪律良好，学生迟到、早退现象较少，但少数课堂到课率低于</w:t>
      </w:r>
      <w:r>
        <w:rPr>
          <w:rFonts w:hint="eastAsia" w:ascii="仿宋" w:hAnsi="仿宋" w:eastAsia="仿宋" w:cs="仿宋"/>
          <w:color w:val="auto"/>
          <w:sz w:val="32"/>
          <w:szCs w:val="32"/>
          <w:lang w:val="en-US" w:eastAsia="zh-CN"/>
        </w:rPr>
        <w:t>75%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巡查中发现存在多媒体课件质量有待加强及多媒体设备有待更新的问题。</w:t>
      </w:r>
    </w:p>
    <w:p>
      <w:pPr>
        <w:spacing w:line="600" w:lineRule="exact"/>
        <w:ind w:firstLine="640" w:firstLineChars="200"/>
        <w:rPr>
          <w:rFonts w:ascii="仿宋" w:hAnsi="仿宋" w:eastAsia="仿宋"/>
          <w:b/>
          <w:color w:val="auto"/>
          <w:sz w:val="32"/>
          <w:szCs w:val="32"/>
        </w:rPr>
      </w:pPr>
      <w:r>
        <w:rPr>
          <w:rFonts w:hint="eastAsia" w:ascii="黑体" w:hAnsi="黑体" w:eastAsia="黑体" w:cs="黑体"/>
          <w:bCs/>
          <w:color w:val="auto"/>
          <w:sz w:val="32"/>
          <w:szCs w:val="32"/>
        </w:rPr>
        <w:t>二、通报202</w:t>
      </w:r>
      <w:r>
        <w:rPr>
          <w:rFonts w:hint="eastAsia" w:ascii="黑体" w:hAnsi="黑体" w:eastAsia="黑体" w:cs="黑体"/>
          <w:bCs/>
          <w:color w:val="auto"/>
          <w:sz w:val="32"/>
          <w:szCs w:val="32"/>
          <w:lang w:val="en-US" w:eastAsia="zh-CN"/>
        </w:rPr>
        <w:t>1</w:t>
      </w:r>
      <w:r>
        <w:rPr>
          <w:rFonts w:hint="eastAsia" w:ascii="黑体" w:hAnsi="黑体" w:eastAsia="黑体" w:cs="黑体"/>
          <w:bCs/>
          <w:color w:val="auto"/>
          <w:sz w:val="32"/>
          <w:szCs w:val="32"/>
        </w:rPr>
        <w:t>-202</w:t>
      </w:r>
      <w:r>
        <w:rPr>
          <w:rFonts w:hint="eastAsia" w:ascii="黑体" w:hAnsi="黑体" w:eastAsia="黑体" w:cs="黑体"/>
          <w:bCs/>
          <w:color w:val="auto"/>
          <w:sz w:val="32"/>
          <w:szCs w:val="32"/>
          <w:lang w:val="en-US" w:eastAsia="zh-CN"/>
        </w:rPr>
        <w:t>2</w:t>
      </w:r>
      <w:r>
        <w:rPr>
          <w:rFonts w:hint="eastAsia" w:ascii="黑体" w:hAnsi="黑体" w:eastAsia="黑体" w:cs="黑体"/>
          <w:bCs/>
          <w:color w:val="auto"/>
          <w:sz w:val="32"/>
          <w:szCs w:val="32"/>
        </w:rPr>
        <w:t>学年第2学期</w:t>
      </w:r>
      <w:r>
        <w:rPr>
          <w:rFonts w:hint="eastAsia" w:ascii="黑体" w:hAnsi="黑体" w:eastAsia="黑体" w:cs="黑体"/>
          <w:bCs/>
          <w:color w:val="auto"/>
          <w:sz w:val="32"/>
          <w:szCs w:val="32"/>
          <w:lang w:eastAsia="zh-CN"/>
        </w:rPr>
        <w:t>期中教学检查</w:t>
      </w:r>
      <w:r>
        <w:rPr>
          <w:rFonts w:hint="eastAsia" w:ascii="黑体" w:hAnsi="黑体" w:eastAsia="黑体" w:cs="黑体"/>
          <w:bCs/>
          <w:color w:val="auto"/>
          <w:sz w:val="32"/>
          <w:szCs w:val="32"/>
        </w:rPr>
        <w:t>情况</w:t>
      </w:r>
    </w:p>
    <w:p>
      <w:pPr>
        <w:ind w:firstLine="640" w:firstLineChars="200"/>
        <w:rPr>
          <w:rFonts w:eastAsia="仿宋"/>
          <w:color w:val="auto"/>
          <w:sz w:val="32"/>
          <w:szCs w:val="32"/>
        </w:rPr>
      </w:pPr>
      <w:r>
        <w:rPr>
          <w:rFonts w:hint="eastAsia" w:ascii="仿宋" w:hAnsi="仿宋" w:eastAsia="仿宋" w:cs="仿宋"/>
          <w:color w:val="auto"/>
          <w:sz w:val="32"/>
          <w:szCs w:val="32"/>
          <w:lang w:eastAsia="zh-CN"/>
        </w:rPr>
        <w:t>第</w:t>
      </w:r>
      <w:r>
        <w:rPr>
          <w:rFonts w:hint="eastAsia" w:ascii="仿宋" w:hAnsi="仿宋" w:eastAsia="仿宋" w:cs="仿宋"/>
          <w:color w:val="auto"/>
          <w:sz w:val="32"/>
          <w:szCs w:val="32"/>
          <w:lang w:val="en-US" w:eastAsia="zh-CN"/>
        </w:rPr>
        <w:t>8-11周</w:t>
      </w:r>
      <w:r>
        <w:rPr>
          <w:rFonts w:hint="eastAsia" w:ascii="仿宋" w:hAnsi="仿宋" w:eastAsia="仿宋" w:cs="仿宋"/>
          <w:color w:val="auto"/>
          <w:sz w:val="32"/>
          <w:szCs w:val="32"/>
        </w:rPr>
        <w:t>，教务处组织开展2021-2022学年第2学期</w:t>
      </w:r>
      <w:r>
        <w:rPr>
          <w:rFonts w:hint="eastAsia" w:ascii="仿宋" w:hAnsi="仿宋" w:eastAsia="仿宋" w:cs="仿宋"/>
          <w:color w:val="auto"/>
          <w:sz w:val="32"/>
          <w:szCs w:val="32"/>
          <w:lang w:eastAsia="zh-CN"/>
        </w:rPr>
        <w:t>期中教学检查工作</w:t>
      </w:r>
      <w:r>
        <w:rPr>
          <w:rFonts w:hint="eastAsia" w:ascii="仿宋" w:hAnsi="仿宋" w:eastAsia="仿宋" w:cs="仿宋"/>
          <w:color w:val="auto"/>
          <w:sz w:val="32"/>
          <w:szCs w:val="32"/>
        </w:rPr>
        <w:t>，</w:t>
      </w:r>
      <w:r>
        <w:rPr>
          <w:rFonts w:hint="eastAsia" w:ascii="仿宋" w:hAnsi="仿宋" w:eastAsia="仿宋"/>
          <w:sz w:val="32"/>
          <w:szCs w:val="32"/>
          <w:lang w:val="en-US" w:eastAsia="zh-CN"/>
        </w:rPr>
        <w:t>本次教学检查分为学院自查阶段和学校抽查阶段。自查阶段，各学院成立教学检查小组，按时提交了较为客观真实的自查报告；学校抽查阶段，各学院教学副院长、教学督导及教务处全体人员组成期中教学检查小组，对各项材料进行了抽查。总体来看，抽查情况与各学院自查情况基本一致。各学院日常教学管理规范、教学秩序良好，各项教学材料齐全、归档及时。但在重点检查内容中存在个别基层教学组织迎检态度不认真、日常活动流于形式等问题；在常规检查内容中也存在个别课件内容较为陈旧、教案编写不规范、作业量较少、部分教师听课记录简单甚至无记录、考试试卷区分度不高、无批阅痕迹等问题。各学院要认真对待学院自查和学校抽查过程中发现的各种问题，及时向全院通报，主动分析原因，不断总结经验和教训，做好各项整改工作，确保后半学期日常教学工作平稳有序。</w:t>
      </w:r>
    </w:p>
    <w:p>
      <w:pPr>
        <w:spacing w:line="60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、布置近期主要教学工作</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（一）教学建设方面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课程思政建设工作。《湖北经济学院课程思政建设实施方案（试行）》已印发，教务处根据实施方案的任务清单给相关责任单位和学院下达了《关于落实课程思政建设任务的通知》的函,会议要求各学院积极谋划，落实好各项具体任务。根据任务清单要求，学校将启动思政理论课专职教师与各二级学院结对工作，由马克思主义学院向其他二级教学单位派驻不少于1名思政理论课教师，会议要求马克思主义学院牵头做好工作方案，各学院配合实施，教务处将做好服务保障。</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校级课程思政示范项目申报工作。《关于开展2022年校级课程思政示范项目建设工作的通知》已发布，今年拟立项5项左右校级课程思政示范项目，后期省级课程思政示范项目将从校级项目中遴选，会议要求各学院特别是省级以上一流本科专业建设点、基层教学组织积极参与申报。</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一流本科课程建设工作。为落实巡视整改工作，会议要求各学院谋划好本年度一流本科课程建设工作，提高课程建设质量。教务处已将《一流课程建设年度工作计划表》发给各学院，各课程教学团队要认真研究课程建设工作，按照一课一表的要求填报《计划表》，学院汇总并拟定本单位年度课程建设总体计划于5月17日前报送至教学建设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微专业试点建设工作。《湖北经济学院微专业建设与管理办法》已印发，根据办法教务处发布了《关于组织开展2022年微专业建设项目申报工作的通知》，各学院要结合自身学科专业特色探索开展微专业建设。有意向的学院要根据计划招生时间提前提交微专业建设申请，经专家评审、教学委员会审议通过后方可正式开设。</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教学研究项目申报与结题工作。2022年度湖北省教育科学规划课题、中国高等教育学会“2022年度高等教育科学研究规划课题”、教育部产学合作协同育人项目等课题申报通知已在教务处网站发布，各学院要积极组织有研究基础的教师进行申报。同时，会议要求各学院对逾期未结题及临近结题期限的各级各类教研项目加以关注并提醒督促，采取激励约束措施，对存在结题困难的老师给予帮助指导，对出现撤项情况的老师限制申报，促进教研项目质量的提升。</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（二）教学运行方面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制度修订征求意见。根据巡视整改任务要求，教务处起草了《湖北经济学院教授、副教授为本科生上课的规定》（征求意见稿），现向各学院征求意见，意见或建议请以书面形式标注在征求意见稿上，5月16日前报至教务处运行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教学任务落实与教材征订工作。2022-2023-1学期教学任务已经下达，会议要求各学院在5月16日前完成任务落实工作，要求严格执行教授、副教授为本科生上课制度。本学期教学周已进行过半，各学院应提醒因各类原因停课未补的课程任课教师尽早补课。任务落实后将开始下学期教材征订工作，各学院务必向任课教师强调严格按照时间节点进行系统填报。</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8.教学竞赛相关工作。一是《湖北经济学院教学竞赛管理办法》已印发，从今年起，学校每两年将举办一次校级课程思政教学竞赛，今年的工作方案正在拟定，拟于5月底发布。教学竞赛预计下学期开学后进行，各学院要组织教师积极备赛，利用暑期做好准备。二是教务处发布了《关于申报湖北经济学院2022年度教学竞赛项目的通知》，会议要求各学院根据教师教学竞赛项目指南和本学科专业教师竞赛实际情况，做好竞赛项目申报工作，5月20日前报送至教务处运行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教材摸底。教育厅下发了《关于高校哲学社会科学部分教材摸底工作的通知》，鉴于保密要求，运行办公室会点对点将通知发给各学院教学秘书，要求各学院认真摸清情况，全面统计、不得遗漏，报送的数据务必认真审核，真实准确，5月16日前报送至教务处运行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（三）考试管理方面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10.为规范考试命题和制卷管理，教务处发布了《关于2021-2022学年第二学期期末考试考试形式和命题要求的通知》，原则上要求采取闭卷笔试的形式，课程代码相同的课程应按照教学大纲和考试大纲统一命题，会议要求学院按加强考试命题管理，对确有需要采取其他考试形式或单独命题的课程务必严格审核把关，确保试卷的科学性、规范性和适应性。</w:t>
      </w:r>
    </w:p>
    <w:p>
      <w:pPr>
        <w:ind w:firstLine="640" w:firstLineChars="200"/>
        <w:rPr>
          <w:rFonts w:hint="eastAsia" w:ascii="仿宋" w:hAnsi="仿宋" w:eastAsia="仿宋"/>
          <w:sz w:val="32"/>
          <w:szCs w:val="32"/>
          <w:lang w:val="en-US" w:eastAsia="zh-CN"/>
        </w:rPr>
      </w:pP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（四）学籍管理方面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11.延长学业申请工作。《关于我校2022届本科毕业生申请延长学业工作安排的通知》已发布，各学院应结合学业预警情况，掌握毕业生中未达到毕业条件的学生情况，敦促学生及时申请延长学业或结业。需要申请延长学业的学生于2022年5月24日前填写《延长学业申请表》，交所在学院审核。学院审核后，于2022年5月27日以学院为单位统一交教务处学籍管理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12.学士学位申请工作。各学院根据《关于2022届本科毕业生申请学士学位的通知》要求，于5月26日前完成本科毕业生申请受理工作，其中破格申请的毕业生需另附相关申请材料。学院学位评定分委员会应按学校规定对申请者进行资格审查，6月3日前将初审意见、申请汇总表及破格申请授予学位的申请材料复印件报送学士学位评定委员会办公室。</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13.体质健康补测工作。《湖北经济学院2022届毕业生体质健康测试补测通知》已在教务处网站发布，补测时间为5月13日下午14:30-17:00。会议要求各学院及时通知相关毕业生在指定地点按时参加补测。根据人才培养方案规定，体测综合成绩低于50分将无法通过毕业审核。根据疫情防控要求，处于中高风险区暂无法返校参加补测的学生，由所在学院核实情况后统一将学生名单报体育学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（五）实践教学方面</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14.毕业论文答辩工作。大部分学院集中在5月14-15日进行线上线下相结合的毕业论文答辩，会议要求各学院组织好毕业答辩工作，网教中心要保障网络运行稳定。答辩完成后，各学院应合理安排二次答辩时间，确保毕业论文成绩于5月27日前录入教务系统。</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15.“互联网+”大学生创新创业大赛校赛准备工作。《第八届中国国际“互联网+”大学生创新创业大赛校赛组织方案》已发布，会议要求各学院充分重视、仔细研究，在新文科建设、课程思政建设等方面着力培育优质参赛项目。各学院要</w:t>
      </w:r>
      <w:bookmarkStart w:id="1" w:name="_GoBack"/>
      <w:bookmarkEnd w:id="1"/>
      <w:r>
        <w:rPr>
          <w:rFonts w:hint="eastAsia" w:ascii="仿宋" w:hAnsi="仿宋" w:eastAsia="仿宋"/>
          <w:sz w:val="32"/>
          <w:szCs w:val="32"/>
          <w:lang w:val="en-US" w:eastAsia="zh-CN"/>
        </w:rPr>
        <w:t>积极动员学生踊跃参赛，完成参赛学生人数达到20%，参赛项目数要达到学院学生人数10%的最低要求。同时动员更多教师参与到参赛项目的指导中。</w:t>
      </w:r>
    </w:p>
    <w:p>
      <w:pPr>
        <w:spacing w:line="60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lang w:eastAsia="zh-CN"/>
        </w:rPr>
        <w:t>四</w:t>
      </w:r>
      <w:r>
        <w:rPr>
          <w:rFonts w:hint="eastAsia" w:ascii="黑体" w:hAnsi="黑体" w:eastAsia="黑体" w:cs="黑体"/>
          <w:bCs/>
          <w:color w:val="auto"/>
          <w:sz w:val="32"/>
          <w:szCs w:val="32"/>
        </w:rPr>
        <w:t>、布置近期实验教学工作</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一）第十二届湖北省“挑战杯”中国大学生创业计划竞赛由校团委承办，实验教学中心协办。校赛拟于5月19日下午在大学生活动中心三号报告厅举行。21个项目通过初赛，入围校赛现场赛。大赛设置五个组别：科技创新和未来产业、乡村振兴和脱贫攻坚、城市治理和社会服务、生态环保和可持续发展、文化创意和区域合作。每组推荐2个项目晋级省赛。拟邀请的5位评委全部来自校外“互联网+”省赛、国赛评委。</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（二）第九届“学创杯”全国大学生创业综合模拟大赛湖北经济学院校赛决赛将于5月19日下午举行。比赛分为创业管理模拟竞赛与创业营销模拟竞赛两个赛项，46支队伍参赛，两个赛项各推荐3个项目晋级省赛。</w:t>
      </w:r>
    </w:p>
    <w:p>
      <w:pPr>
        <w:ind w:firstLine="640" w:firstLineChars="200"/>
        <w:rPr>
          <w:rFonts w:hint="eastAsia" w:ascii="仿宋" w:hAnsi="仿宋" w:eastAsia="仿宋"/>
          <w:sz w:val="32"/>
          <w:szCs w:val="32"/>
          <w:lang w:val="en-US" w:eastAsia="zh-CN"/>
        </w:rPr>
      </w:pPr>
      <w:bookmarkStart w:id="0" w:name="_Hlk103181847"/>
      <w:r>
        <w:rPr>
          <w:rFonts w:hint="eastAsia" w:ascii="仿宋" w:hAnsi="仿宋" w:eastAsia="仿宋"/>
          <w:sz w:val="32"/>
          <w:szCs w:val="32"/>
          <w:lang w:val="en-US" w:eastAsia="zh-CN"/>
        </w:rPr>
        <w:t>（三）第八届中国国际“互联网+”大学生创新创业大赛</w:t>
      </w:r>
      <w:bookmarkEnd w:id="0"/>
      <w:r>
        <w:rPr>
          <w:rFonts w:hint="eastAsia" w:ascii="仿宋" w:hAnsi="仿宋" w:eastAsia="仿宋"/>
          <w:sz w:val="32"/>
          <w:szCs w:val="32"/>
          <w:lang w:val="en-US" w:eastAsia="zh-CN"/>
        </w:rPr>
        <w:t>校赛通知已发布。6月10日之前报名，6月12-14日初赛，6月15-19日复赛，拟于6月26日决赛。校赛现场赛产生队伍晋级排名，学校按照省教育厅分配的名额，择优推荐晋级省赛网评项目。请各学院认真学习省教育厅4月27日发布的《省教育厅关于举办第八届中国国际“互联网+”大学生创新创业大赛湖北省复赛的通知》以及大赛组委会4月28日发布的《第八届中国国际“互联网+”大学生创新创业大赛评审规则》。根据大赛主体赛事设置的高教主赛道、“青年红色筑梦之旅”赛道、职教赛道、萌芽赛道和产业命题赛道的不同规则，合理报名和备赛，建议跨学校、跨学院、跨专业组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、校长付宏讲话</w:t>
      </w:r>
    </w:p>
    <w:p>
      <w:pPr>
        <w:numPr>
          <w:ilvl w:val="0"/>
          <w:numId w:val="0"/>
        </w:numPr>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副校长付宏指出，</w:t>
      </w:r>
      <w:r>
        <w:rPr>
          <w:rFonts w:hint="eastAsia" w:ascii="仿宋" w:hAnsi="仿宋" w:eastAsia="仿宋"/>
          <w:color w:val="auto"/>
          <w:sz w:val="32"/>
          <w:szCs w:val="32"/>
          <w:lang w:eastAsia="zh-CN"/>
        </w:rPr>
        <w:t>听课过程中仍发现少量学生未到课，各学院要严格学生管理，提高课程质量。临近毕业，各学院要组织好毕业论文各环节，实事求是，让学生交出大学生涯中最后一份满意的答卷。同时强调以下重点工作：</w:t>
      </w:r>
    </w:p>
    <w:p>
      <w:pPr>
        <w:numPr>
          <w:ilvl w:val="0"/>
          <w:numId w:val="1"/>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第八届中国国际“互联网+”大学生创新创业大赛备赛工作。“互联网+”大赛的参赛水平直接反映了学校的专业建设、学科建设水平和办学水平，学校正处在“双升”战略阶段，要提高紧迫感，争取今年突破“互联网+”国赛奖项。一是要进一步扩大规模，动员更多学生参赛，以扩大规模来提高获奖质量；二是进一步提升项目质量，过往存在一个参赛项目在不同比赛中反复使用的问题，要创新项目，提高项目竞争力；三是进一步加强交叉融合，鼓励跨专业、跨学院组队、要为项目需要组队，在组队过程中提高学生的组织协调能力；四是进一步支持一流专业建设发展，一流专业要培养一流的学生，要将“互联网+”的参赛数量、获奖水平同一流专业建设结合起来，使学科竞赛的得奖数量能够匹配一流专业发展，两者相互促进。</w:t>
      </w:r>
    </w:p>
    <w:p>
      <w:pPr>
        <w:numPr>
          <w:ilvl w:val="0"/>
          <w:numId w:val="1"/>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教授、副教授为本科生上课落实工作。一是教授、副教授要上课，</w:t>
      </w:r>
      <w:r>
        <w:rPr>
          <w:rFonts w:hint="eastAsia" w:ascii="仿宋" w:hAnsi="仿宋" w:eastAsia="仿宋"/>
          <w:color w:val="auto"/>
          <w:sz w:val="32"/>
          <w:szCs w:val="32"/>
          <w:lang w:eastAsia="zh-CN"/>
        </w:rPr>
        <w:t>要树立“管教学就是管规矩”的规矩意识，坚持“以本为本”，立行立改，把《湖北经济学院教授、副教授为本科生上课的规定》落到实处</w:t>
      </w:r>
      <w:r>
        <w:rPr>
          <w:rFonts w:hint="eastAsia" w:ascii="仿宋" w:hAnsi="仿宋" w:eastAsia="仿宋"/>
          <w:sz w:val="32"/>
          <w:szCs w:val="32"/>
          <w:lang w:val="en-US" w:eastAsia="zh-CN"/>
        </w:rPr>
        <w:t>；二是教授、副教授要上好课、上“金课”，上学生喜闻乐见的课，学校将根据教授、副教授上课情况进行专项检查，了解教授、副教授上课情况。</w:t>
      </w:r>
    </w:p>
    <w:p>
      <w:pPr>
        <w:numPr>
          <w:ilvl w:val="0"/>
          <w:numId w:val="1"/>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课程思政建设工作。各学院要切实研究课程思政，提高内涵、提高品质。马克思主义学院和各学院的结对工作要落实到具体课程中，深入、具体地开展合作。课程思政应该有自发的、主动的、积极的态势，马克思主义学院教师要有多元的知识储备，各学院教师要在专业中挖掘思政元素，共同促进课程思政工作提质增效。各学院领导在听课中要重视思政元素的运用，帮助教师将课程改造好、提升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64F6A4"/>
    <w:multiLevelType w:val="singleLevel"/>
    <w:tmpl w:val="3D64F6A4"/>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yNmIyZGM2OWY4MDFkYjJiZDM1N2U4OGNlYThmNTIifQ=="/>
  </w:docVars>
  <w:rsids>
    <w:rsidRoot w:val="57CE6FAB"/>
    <w:rsid w:val="48633C92"/>
    <w:rsid w:val="4BF96D68"/>
    <w:rsid w:val="57CE6FAB"/>
    <w:rsid w:val="5AFF0235"/>
    <w:rsid w:val="70886027"/>
    <w:rsid w:val="7CC12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4432</Words>
  <Characters>4604</Characters>
  <Lines>0</Lines>
  <Paragraphs>0</Paragraphs>
  <TotalTime>14</TotalTime>
  <ScaleCrop>false</ScaleCrop>
  <LinksUpToDate>false</LinksUpToDate>
  <CharactersWithSpaces>4632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2022-05-13T08:09:00Z</dcterms:created>
  <dc:creator>Administrator</dc:creator>
  <cp:lastModifiedBy>Administrator</cp:lastModifiedBy>
  <cp:lastPrinted>2022-05-16T08:59:00Z</cp:lastPrinted>
  <dcterms:modified xsi:type="dcterms:W3CDTF">2022-05-17T01:11:03Z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9D3CE99D864E423E9B1950E094B038DF</vt:lpwstr>
  </property>
</Properties>
</file>