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800" w:lineRule="exact"/>
        <w:jc w:val="center"/>
        <w:rPr>
          <w:rFonts w:ascii="Times New Roman" w:hAnsi="Times New Roman" w:eastAsia="黑体"/>
          <w:b/>
          <w:color w:val="FF0000"/>
          <w:spacing w:val="80"/>
          <w:w w:val="80"/>
          <w:kern w:val="0"/>
          <w:sz w:val="56"/>
          <w:szCs w:val="44"/>
        </w:rPr>
      </w:pPr>
      <w:r>
        <w:rPr>
          <w:rFonts w:ascii="Times New Roman" w:hAnsi="Times New Roman" w:eastAsia="黑体"/>
          <w:b/>
          <w:color w:val="FF0000"/>
          <w:spacing w:val="80"/>
          <w:w w:val="80"/>
          <w:kern w:val="0"/>
          <w:sz w:val="56"/>
          <w:szCs w:val="44"/>
        </w:rPr>
        <w:t>湖</w:t>
      </w:r>
      <w:r>
        <w:rPr>
          <w:rFonts w:hint="eastAsia" w:ascii="Times New Roman" w:hAnsi="Times New Roman" w:eastAsia="黑体"/>
          <w:b/>
          <w:color w:val="FF0000"/>
          <w:spacing w:val="80"/>
          <w:w w:val="80"/>
          <w:kern w:val="0"/>
          <w:sz w:val="56"/>
          <w:szCs w:val="44"/>
        </w:rPr>
        <w:t xml:space="preserve"> </w:t>
      </w:r>
      <w:r>
        <w:rPr>
          <w:rFonts w:ascii="Times New Roman" w:hAnsi="Times New Roman" w:eastAsia="黑体"/>
          <w:b/>
          <w:color w:val="FF0000"/>
          <w:spacing w:val="80"/>
          <w:w w:val="80"/>
          <w:kern w:val="0"/>
          <w:sz w:val="56"/>
          <w:szCs w:val="44"/>
        </w:rPr>
        <w:t>北</w:t>
      </w:r>
      <w:r>
        <w:rPr>
          <w:rFonts w:hint="eastAsia" w:ascii="Times New Roman" w:hAnsi="Times New Roman" w:eastAsia="黑体"/>
          <w:b/>
          <w:color w:val="FF0000"/>
          <w:spacing w:val="80"/>
          <w:w w:val="80"/>
          <w:kern w:val="0"/>
          <w:sz w:val="56"/>
          <w:szCs w:val="44"/>
        </w:rPr>
        <w:t xml:space="preserve"> </w:t>
      </w:r>
      <w:r>
        <w:rPr>
          <w:rFonts w:ascii="Times New Roman" w:hAnsi="Times New Roman" w:eastAsia="黑体"/>
          <w:b/>
          <w:color w:val="FF0000"/>
          <w:spacing w:val="80"/>
          <w:w w:val="80"/>
          <w:kern w:val="0"/>
          <w:sz w:val="56"/>
          <w:szCs w:val="44"/>
        </w:rPr>
        <w:t>经</w:t>
      </w:r>
      <w:r>
        <w:rPr>
          <w:rFonts w:hint="eastAsia" w:ascii="Times New Roman" w:hAnsi="Times New Roman" w:eastAsia="黑体"/>
          <w:b/>
          <w:color w:val="FF0000"/>
          <w:spacing w:val="80"/>
          <w:w w:val="80"/>
          <w:kern w:val="0"/>
          <w:sz w:val="56"/>
          <w:szCs w:val="44"/>
        </w:rPr>
        <w:t xml:space="preserve"> </w:t>
      </w:r>
      <w:r>
        <w:rPr>
          <w:rFonts w:ascii="Times New Roman" w:hAnsi="Times New Roman" w:eastAsia="黑体"/>
          <w:b/>
          <w:color w:val="FF0000"/>
          <w:spacing w:val="80"/>
          <w:w w:val="80"/>
          <w:kern w:val="0"/>
          <w:sz w:val="56"/>
          <w:szCs w:val="44"/>
        </w:rPr>
        <w:t>济</w:t>
      </w:r>
      <w:r>
        <w:rPr>
          <w:rFonts w:hint="eastAsia" w:ascii="Times New Roman" w:hAnsi="Times New Roman" w:eastAsia="黑体"/>
          <w:b/>
          <w:color w:val="FF0000"/>
          <w:spacing w:val="80"/>
          <w:w w:val="80"/>
          <w:kern w:val="0"/>
          <w:sz w:val="56"/>
          <w:szCs w:val="44"/>
        </w:rPr>
        <w:t xml:space="preserve"> </w:t>
      </w:r>
      <w:r>
        <w:rPr>
          <w:rFonts w:ascii="Times New Roman" w:hAnsi="Times New Roman" w:eastAsia="黑体"/>
          <w:b/>
          <w:color w:val="FF0000"/>
          <w:spacing w:val="80"/>
          <w:w w:val="80"/>
          <w:kern w:val="0"/>
          <w:sz w:val="56"/>
          <w:szCs w:val="44"/>
        </w:rPr>
        <w:t>学</w:t>
      </w:r>
      <w:r>
        <w:rPr>
          <w:rFonts w:hint="eastAsia" w:ascii="Times New Roman" w:hAnsi="Times New Roman" w:eastAsia="黑体"/>
          <w:b/>
          <w:color w:val="FF0000"/>
          <w:spacing w:val="80"/>
          <w:w w:val="80"/>
          <w:kern w:val="0"/>
          <w:sz w:val="56"/>
          <w:szCs w:val="44"/>
        </w:rPr>
        <w:t xml:space="preserve"> </w:t>
      </w:r>
      <w:r>
        <w:rPr>
          <w:rFonts w:ascii="Times New Roman" w:hAnsi="Times New Roman" w:eastAsia="黑体"/>
          <w:b/>
          <w:color w:val="FF0000"/>
          <w:spacing w:val="80"/>
          <w:w w:val="80"/>
          <w:kern w:val="0"/>
          <w:sz w:val="56"/>
          <w:szCs w:val="44"/>
        </w:rPr>
        <w:t>院</w:t>
      </w:r>
    </w:p>
    <w:p>
      <w:pPr>
        <w:widowControl/>
        <w:spacing w:line="1240" w:lineRule="exact"/>
        <w:jc w:val="center"/>
        <w:rPr>
          <w:rFonts w:ascii="Times New Roman" w:hAnsi="Times New Roman" w:eastAsia="黑体"/>
          <w:color w:val="FF0000"/>
          <w:kern w:val="0"/>
          <w:sz w:val="96"/>
          <w:szCs w:val="84"/>
        </w:rPr>
      </w:pPr>
      <w:r>
        <w:rPr>
          <w:rFonts w:hint="eastAsia" w:ascii="Times New Roman" w:hAnsi="Times New Roman" w:eastAsia="黑体"/>
          <w:color w:val="FF0000"/>
          <w:kern w:val="0"/>
          <w:sz w:val="96"/>
          <w:szCs w:val="84"/>
        </w:rPr>
        <w:t>教学</w:t>
      </w:r>
      <w:r>
        <w:rPr>
          <w:rFonts w:hint="eastAsia" w:ascii="Times New Roman" w:hAnsi="Times New Roman" w:eastAsia="黑体"/>
          <w:color w:val="FF0000"/>
          <w:kern w:val="0"/>
          <w:sz w:val="96"/>
          <w:szCs w:val="84"/>
          <w:lang w:eastAsia="zh-CN"/>
        </w:rPr>
        <w:t>例会</w:t>
      </w:r>
      <w:r>
        <w:rPr>
          <w:rFonts w:ascii="Times New Roman" w:hAnsi="Times New Roman" w:eastAsia="黑体"/>
          <w:color w:val="FF0000"/>
          <w:kern w:val="0"/>
          <w:sz w:val="96"/>
          <w:szCs w:val="84"/>
        </w:rPr>
        <w:t>会议纪要</w:t>
      </w:r>
    </w:p>
    <w:p>
      <w:pPr>
        <w:spacing w:line="600" w:lineRule="exact"/>
        <w:rPr>
          <w:rFonts w:ascii="Times New Roman" w:hAnsi="Times New Roman" w:eastAsia="仿宋_GB2312"/>
          <w:sz w:val="32"/>
          <w:szCs w:val="32"/>
        </w:rPr>
      </w:pPr>
    </w:p>
    <w:p>
      <w:pPr>
        <w:spacing w:line="600" w:lineRule="exact"/>
        <w:jc w:val="center"/>
        <w:rPr>
          <w:rFonts w:ascii="Times New Roman" w:hAnsi="Times New Roman" w:eastAsia="仿宋"/>
          <w:sz w:val="32"/>
          <w:szCs w:val="32"/>
        </w:rPr>
      </w:pPr>
      <w:r>
        <w:rPr>
          <w:rFonts w:ascii="Times New Roman" w:hAnsi="Times New Roman" w:eastAsia="仿宋"/>
          <w:sz w:val="32"/>
          <w:szCs w:val="32"/>
        </w:rPr>
        <w:t>（20</w:t>
      </w:r>
      <w:r>
        <w:rPr>
          <w:rFonts w:hint="eastAsia" w:ascii="Times New Roman" w:hAnsi="Times New Roman" w:eastAsia="仿宋"/>
          <w:sz w:val="32"/>
          <w:szCs w:val="32"/>
        </w:rPr>
        <w:t>2</w:t>
      </w:r>
      <w:r>
        <w:rPr>
          <w:rFonts w:hint="eastAsia" w:ascii="Times New Roman" w:hAnsi="Times New Roman" w:eastAsia="仿宋"/>
          <w:sz w:val="32"/>
          <w:szCs w:val="32"/>
          <w:lang w:val="en-US" w:eastAsia="zh-CN"/>
        </w:rPr>
        <w:t>2</w:t>
      </w:r>
      <w:r>
        <w:rPr>
          <w:rFonts w:ascii="Times New Roman" w:hAnsi="Times New Roman" w:eastAsia="仿宋"/>
          <w:sz w:val="32"/>
          <w:szCs w:val="32"/>
        </w:rPr>
        <w:t>）第</w:t>
      </w:r>
      <w:r>
        <w:rPr>
          <w:rFonts w:hint="eastAsia" w:ascii="Times New Roman" w:hAnsi="Times New Roman" w:eastAsia="仿宋"/>
          <w:sz w:val="32"/>
          <w:szCs w:val="32"/>
          <w:lang w:val="en-US" w:eastAsia="zh-CN"/>
        </w:rPr>
        <w:t>1</w:t>
      </w:r>
      <w:r>
        <w:rPr>
          <w:rFonts w:ascii="Times New Roman" w:hAnsi="Times New Roman" w:eastAsia="仿宋"/>
          <w:sz w:val="32"/>
          <w:szCs w:val="32"/>
        </w:rPr>
        <w:t>号</w:t>
      </w:r>
    </w:p>
    <w:p>
      <w:pPr>
        <w:spacing w:line="600" w:lineRule="exact"/>
        <w:rPr>
          <w:rFonts w:ascii="Times New Roman" w:hAnsi="Times New Roman" w:eastAsia="仿宋"/>
          <w:sz w:val="32"/>
          <w:szCs w:val="32"/>
        </w:rPr>
      </w:pPr>
    </w:p>
    <w:p>
      <w:pPr>
        <w:spacing w:line="600" w:lineRule="exact"/>
        <w:jc w:val="center"/>
        <w:rPr>
          <w:rFonts w:ascii="Times New Roman" w:hAnsi="Times New Roman" w:eastAsia="仿宋"/>
          <w:kern w:val="0"/>
          <w:sz w:val="32"/>
          <w:szCs w:val="32"/>
        </w:rPr>
      </w:pPr>
      <w:r>
        <w:rPr>
          <w:rFonts w:hint="eastAsia" w:ascii="Times New Roman" w:hAnsi="Times New Roman" w:eastAsia="仿宋"/>
          <w:sz w:val="32"/>
          <w:szCs w:val="32"/>
        </w:rPr>
        <w:t>教务处</w:t>
      </w:r>
      <w:r>
        <w:rPr>
          <w:rFonts w:ascii="Times New Roman" w:hAnsi="Times New Roman" w:eastAsia="仿宋"/>
          <w:sz w:val="32"/>
          <w:szCs w:val="32"/>
        </w:rPr>
        <w:t xml:space="preserve">           </w:t>
      </w:r>
      <w:r>
        <w:rPr>
          <w:rFonts w:hint="eastAsia" w:ascii="Times New Roman" w:hAnsi="Times New Roman" w:eastAsia="仿宋"/>
          <w:sz w:val="32"/>
          <w:szCs w:val="32"/>
        </w:rPr>
        <w:t xml:space="preserve"> </w:t>
      </w:r>
      <w:r>
        <w:rPr>
          <w:rFonts w:ascii="Times New Roman" w:hAnsi="Times New Roman" w:eastAsia="仿宋"/>
          <w:sz w:val="32"/>
          <w:szCs w:val="32"/>
        </w:rPr>
        <w:t xml:space="preserve">           20</w:t>
      </w:r>
      <w:r>
        <w:rPr>
          <w:rFonts w:hint="eastAsia" w:ascii="Times New Roman" w:hAnsi="Times New Roman" w:eastAsia="仿宋"/>
          <w:sz w:val="32"/>
          <w:szCs w:val="32"/>
        </w:rPr>
        <w:t>2</w:t>
      </w:r>
      <w:r>
        <w:rPr>
          <w:rFonts w:hint="eastAsia" w:ascii="Times New Roman" w:hAnsi="Times New Roman" w:eastAsia="仿宋"/>
          <w:sz w:val="32"/>
          <w:szCs w:val="32"/>
          <w:lang w:val="en-US" w:eastAsia="zh-CN"/>
        </w:rPr>
        <w:t>2</w:t>
      </w:r>
      <w:r>
        <w:rPr>
          <w:rFonts w:ascii="Times New Roman" w:hAnsi="Times New Roman" w:eastAsia="仿宋"/>
          <w:sz w:val="32"/>
          <w:szCs w:val="32"/>
        </w:rPr>
        <w:t>年</w:t>
      </w:r>
      <w:r>
        <w:rPr>
          <w:rFonts w:hint="eastAsia" w:ascii="Times New Roman" w:hAnsi="Times New Roman" w:eastAsia="仿宋"/>
          <w:sz w:val="32"/>
          <w:szCs w:val="32"/>
          <w:lang w:val="en-US" w:eastAsia="zh-CN"/>
        </w:rPr>
        <w:t>2</w:t>
      </w:r>
      <w:r>
        <w:rPr>
          <w:rFonts w:ascii="Times New Roman" w:hAnsi="Times New Roman" w:eastAsia="仿宋"/>
          <w:sz w:val="32"/>
          <w:szCs w:val="32"/>
        </w:rPr>
        <w:t>月</w:t>
      </w:r>
      <w:r>
        <w:rPr>
          <w:rFonts w:hint="eastAsia" w:ascii="Times New Roman" w:hAnsi="Times New Roman" w:eastAsia="仿宋"/>
          <w:sz w:val="32"/>
          <w:szCs w:val="32"/>
        </w:rPr>
        <w:t>2</w:t>
      </w:r>
      <w:r>
        <w:rPr>
          <w:rFonts w:hint="eastAsia" w:ascii="Times New Roman" w:hAnsi="Times New Roman" w:eastAsia="仿宋"/>
          <w:sz w:val="32"/>
          <w:szCs w:val="32"/>
          <w:lang w:val="en-US" w:eastAsia="zh-CN"/>
        </w:rPr>
        <w:t>2</w:t>
      </w:r>
      <w:r>
        <w:rPr>
          <w:rFonts w:ascii="Times New Roman" w:hAnsi="Times New Roman" w:eastAsia="仿宋"/>
          <w:sz w:val="32"/>
          <w:szCs w:val="32"/>
        </w:rPr>
        <w:t>日</w:t>
      </w:r>
    </w:p>
    <w:p>
      <w:pPr>
        <w:widowControl/>
        <w:spacing w:line="262" w:lineRule="atLeast"/>
        <w:jc w:val="left"/>
        <w:rPr>
          <w:rFonts w:ascii="Times New Roman" w:hAnsi="Times New Roman" w:eastAsia="仿宋"/>
          <w:sz w:val="32"/>
        </w:rPr>
      </w:pPr>
      <w:r>
        <w:rPr>
          <w:rFonts w:ascii="Times New Roman" w:hAnsi="Times New Roman" w:eastAsia="仿宋"/>
          <w:color w:val="FF0000"/>
          <w:kern w:val="0"/>
          <w:sz w:val="32"/>
          <w:szCs w:val="32"/>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100965</wp:posOffset>
                </wp:positionV>
                <wp:extent cx="5425440" cy="0"/>
                <wp:effectExtent l="0" t="10795" r="10160" b="14605"/>
                <wp:wrapNone/>
                <wp:docPr id="2" name="直接连接符 2"/>
                <wp:cNvGraphicFramePr/>
                <a:graphic xmlns:a="http://schemas.openxmlformats.org/drawingml/2006/main">
                  <a:graphicData uri="http://schemas.microsoft.com/office/word/2010/wordprocessingShape">
                    <wps:wsp>
                      <wps:cNvCnPr/>
                      <wps:spPr>
                        <a:xfrm>
                          <a:off x="0" y="0"/>
                          <a:ext cx="5425440" cy="0"/>
                        </a:xfrm>
                        <a:prstGeom prst="line">
                          <a:avLst/>
                        </a:prstGeom>
                        <a:ln w="22225" cap="flat" cmpd="sng">
                          <a:solidFill>
                            <a:srgbClr val="FF0000"/>
                          </a:solidFill>
                          <a:prstDash val="solid"/>
                          <a:headEnd type="none" w="med" len="med"/>
                          <a:tailEnd type="none" w="med" len="med"/>
                        </a:ln>
                      </wps:spPr>
                      <wps:bodyPr/>
                    </wps:wsp>
                  </a:graphicData>
                </a:graphic>
              </wp:anchor>
            </w:drawing>
          </mc:Choice>
          <mc:Fallback>
            <w:pict>
              <v:line id="_x0000_s1026" o:spid="_x0000_s1026" o:spt="20" style="position:absolute;left:0pt;margin-left:0pt;margin-top:7.95pt;height:0pt;width:427.2pt;z-index:251659264;mso-width-relative:page;mso-height-relative:page;" filled="f" stroked="t" coordsize="21600,21600" o:gfxdata="UEsDBAoAAAAAAIdO4kAAAAAAAAAAAAAAAAAEAAAAZHJzL1BLAwQUAAAACACHTuJAbx/Fl9UAAAAG&#10;AQAADwAAAGRycy9kb3ducmV2LnhtbE2Py07DMBBF90j9B2sqsaNOUZ8hThdIIPFopZR+gBMPSVR7&#10;HGI3LXw9g1jAcu4dnTmTbS7OigH70HpSMJ0kIJAqb1qqFRzeHm5WIELUZLT1hAo+McAmH11lOjX+&#10;TAUO+1gLhlBItYImxi6VMlQNOh0mvkPi7t33Tkce+1qaXp8Z7qy8TZKFdLolvtDoDu8brI77k2PK&#10;sDy+vmy/io/n1j8Vj4tdWVtU6no8Te5ARLzEv2X40Wd1yNmp9CcyQVgF/EjkdL4Gwe1qPpuBKH8D&#10;mWfyv37+DVBLAwQUAAAACACHTuJAmsdUmu0BAADZAwAADgAAAGRycy9lMm9Eb2MueG1srVO9jhMx&#10;EO6ReAfLPdm9KEFolc0VF0KDIBLwABPbm7XkP3l82eQleAEkOqgo6Xkbjsdg7M3l4GhSsIV3PJ75&#10;Zr7P48X1wRq2VxG1dy2/mtScKSe81G7X8g/v189ecIYJnATjnWr5USG/Xj59shhCo6a+90aqyAjE&#10;YTOElvcphaaqUPTKAk58UI4OOx8tJNrGXSUjDIRuTTWt6+fV4KMM0QuFSN7VeMhPiPESQN91WqiV&#10;F7dWuTSiRmUgESXsdUC+LN12nRLpbdehSsy0nJimslIRsrd5rZYLaHYRQq/FqQW4pIVHnCxoR0XP&#10;UCtIwG6j/gfKahE9+i5NhLfVSKQoQiyu6kfavOshqMKFpMZwFh3/H6x4s99EpmXLp5w5sHThd5++&#10;//z45dePz7TeffvKplmkIWBDsTduE087DJuYGR+6aPOfuLBDEfZ4FlYdEhPknM+m89mMNBf3Z9VD&#10;YoiYXilvWTZabrTLnKGB/WtMVIxC70Oy2zg2ULf0zQkPaAI7unkybSAW6HYlGb3Rcq2NySkYd9sb&#10;E9keaArW65q+zImA/wrLVVaA/RhXjsb56BXIl06ydAykj6NnwXMPVknOjKJXlC0ChCaBNpdEUmnj&#10;qIMs6yhktrZeHou+xU83Xno8TWceqT/3JfvhRS5/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G8f&#10;xZfVAAAABgEAAA8AAAAAAAAAAQAgAAAAIgAAAGRycy9kb3ducmV2LnhtbFBLAQIUABQAAAAIAIdO&#10;4kCax1Sa7QEAANkDAAAOAAAAAAAAAAEAIAAAACQBAABkcnMvZTJvRG9jLnhtbFBLBQYAAAAABgAG&#10;AFkBAACDBQAAAAA=&#10;">
                <v:fill on="f" focussize="0,0"/>
                <v:stroke weight="1.75pt" color="#FF0000" joinstyle="round"/>
                <v:imagedata o:title=""/>
                <o:lock v:ext="edit" aspectratio="f"/>
              </v:line>
            </w:pict>
          </mc:Fallback>
        </mc:AlternateContent>
      </w:r>
    </w:p>
    <w:p>
      <w:pPr>
        <w:keepNext w:val="0"/>
        <w:keepLines w:val="0"/>
        <w:pageBreakBefore w:val="0"/>
        <w:widowControl w:val="0"/>
        <w:kinsoku/>
        <w:wordWrap/>
        <w:overflowPunct/>
        <w:topLinePunct w:val="0"/>
        <w:autoSpaceDE/>
        <w:autoSpaceDN/>
        <w:bidi w:val="0"/>
        <w:adjustRightInd/>
        <w:spacing w:line="600" w:lineRule="exact"/>
        <w:ind w:firstLine="640" w:firstLineChars="200"/>
        <w:textAlignment w:val="auto"/>
        <w:rPr>
          <w:rFonts w:ascii="仿宋" w:hAnsi="仿宋" w:eastAsia="仿宋"/>
          <w:sz w:val="32"/>
          <w:szCs w:val="32"/>
        </w:rPr>
      </w:pPr>
      <w:r>
        <w:rPr>
          <w:rFonts w:hint="eastAsia" w:ascii="仿宋" w:hAnsi="仿宋" w:eastAsia="仿宋"/>
          <w:sz w:val="32"/>
          <w:szCs w:val="32"/>
          <w:lang w:val="en-US" w:eastAsia="zh-CN"/>
        </w:rPr>
        <w:t>2</w:t>
      </w:r>
      <w:r>
        <w:rPr>
          <w:rFonts w:ascii="仿宋" w:hAnsi="仿宋" w:eastAsia="仿宋"/>
          <w:sz w:val="32"/>
          <w:szCs w:val="32"/>
        </w:rPr>
        <w:t>月</w:t>
      </w:r>
      <w:r>
        <w:rPr>
          <w:rFonts w:hint="eastAsia" w:ascii="仿宋" w:hAnsi="仿宋" w:eastAsia="仿宋"/>
          <w:sz w:val="32"/>
          <w:szCs w:val="32"/>
        </w:rPr>
        <w:t>22</w:t>
      </w:r>
      <w:r>
        <w:rPr>
          <w:rFonts w:ascii="仿宋" w:hAnsi="仿宋" w:eastAsia="仿宋"/>
          <w:sz w:val="32"/>
          <w:szCs w:val="32"/>
        </w:rPr>
        <w:t>日</w:t>
      </w:r>
      <w:r>
        <w:rPr>
          <w:rFonts w:hint="eastAsia" w:ascii="仿宋" w:hAnsi="仿宋" w:eastAsia="仿宋"/>
          <w:sz w:val="32"/>
          <w:szCs w:val="32"/>
          <w:lang w:eastAsia="zh-CN"/>
        </w:rPr>
        <w:t>下午</w:t>
      </w:r>
      <w:r>
        <w:rPr>
          <w:rFonts w:hint="eastAsia" w:ascii="仿宋" w:hAnsi="仿宋" w:eastAsia="仿宋"/>
          <w:sz w:val="32"/>
          <w:szCs w:val="32"/>
          <w:lang w:val="en-US" w:eastAsia="zh-CN"/>
        </w:rPr>
        <w:t>2</w:t>
      </w:r>
      <w:r>
        <w:rPr>
          <w:rFonts w:hint="eastAsia" w:ascii="仿宋" w:hAnsi="仿宋" w:eastAsia="仿宋"/>
          <w:sz w:val="32"/>
          <w:szCs w:val="32"/>
        </w:rPr>
        <w:t>点</w:t>
      </w:r>
      <w:r>
        <w:rPr>
          <w:rFonts w:ascii="仿宋" w:hAnsi="仿宋" w:eastAsia="仿宋"/>
          <w:sz w:val="32"/>
          <w:szCs w:val="32"/>
        </w:rPr>
        <w:t>，</w:t>
      </w:r>
      <w:r>
        <w:rPr>
          <w:rFonts w:hint="eastAsia" w:ascii="仿宋" w:hAnsi="仿宋" w:eastAsia="仿宋"/>
          <w:sz w:val="32"/>
          <w:szCs w:val="32"/>
        </w:rPr>
        <w:t>在</w:t>
      </w:r>
      <w:r>
        <w:rPr>
          <w:rFonts w:hint="eastAsia" w:ascii="仿宋" w:hAnsi="仿宋" w:eastAsia="仿宋"/>
          <w:sz w:val="32"/>
          <w:szCs w:val="32"/>
          <w:lang w:eastAsia="zh-CN"/>
        </w:rPr>
        <w:t>行政楼三楼会议室</w:t>
      </w:r>
      <w:r>
        <w:rPr>
          <w:rFonts w:hint="eastAsia" w:ascii="仿宋" w:hAnsi="仿宋" w:eastAsia="仿宋"/>
          <w:sz w:val="32"/>
          <w:szCs w:val="32"/>
        </w:rPr>
        <w:t>，教务处处长陶前功主持</w:t>
      </w:r>
      <w:r>
        <w:rPr>
          <w:rFonts w:ascii="仿宋" w:hAnsi="仿宋" w:eastAsia="仿宋"/>
          <w:sz w:val="32"/>
          <w:szCs w:val="32"/>
        </w:rPr>
        <w:t>召开20</w:t>
      </w:r>
      <w:r>
        <w:rPr>
          <w:rFonts w:hint="eastAsia" w:ascii="仿宋" w:hAnsi="仿宋" w:eastAsia="仿宋"/>
          <w:sz w:val="32"/>
          <w:szCs w:val="32"/>
        </w:rPr>
        <w:t>2</w:t>
      </w:r>
      <w:r>
        <w:rPr>
          <w:rFonts w:hint="eastAsia" w:ascii="仿宋" w:hAnsi="仿宋" w:eastAsia="仿宋"/>
          <w:sz w:val="32"/>
          <w:szCs w:val="32"/>
          <w:lang w:val="en-US" w:eastAsia="zh-CN"/>
        </w:rPr>
        <w:t>2</w:t>
      </w:r>
      <w:r>
        <w:rPr>
          <w:rFonts w:ascii="仿宋" w:hAnsi="仿宋" w:eastAsia="仿宋"/>
          <w:sz w:val="32"/>
          <w:szCs w:val="32"/>
        </w:rPr>
        <w:t>年</w:t>
      </w:r>
      <w:r>
        <w:rPr>
          <w:rFonts w:hint="eastAsia" w:ascii="仿宋" w:hAnsi="仿宋" w:eastAsia="仿宋"/>
          <w:sz w:val="32"/>
          <w:szCs w:val="32"/>
        </w:rPr>
        <w:t>度</w:t>
      </w:r>
      <w:r>
        <w:rPr>
          <w:rFonts w:ascii="仿宋" w:hAnsi="仿宋" w:eastAsia="仿宋"/>
          <w:sz w:val="32"/>
          <w:szCs w:val="32"/>
        </w:rPr>
        <w:t>第</w:t>
      </w:r>
      <w:r>
        <w:rPr>
          <w:rFonts w:hint="eastAsia" w:ascii="仿宋" w:hAnsi="仿宋" w:eastAsia="仿宋"/>
          <w:sz w:val="32"/>
          <w:szCs w:val="32"/>
          <w:lang w:eastAsia="zh-CN"/>
        </w:rPr>
        <w:t>一</w:t>
      </w:r>
      <w:r>
        <w:rPr>
          <w:rFonts w:ascii="仿宋" w:hAnsi="仿宋" w:eastAsia="仿宋"/>
          <w:sz w:val="32"/>
          <w:szCs w:val="32"/>
        </w:rPr>
        <w:t>次</w:t>
      </w:r>
      <w:r>
        <w:rPr>
          <w:rFonts w:hint="eastAsia" w:ascii="仿宋" w:hAnsi="仿宋" w:eastAsia="仿宋"/>
          <w:sz w:val="32"/>
          <w:szCs w:val="32"/>
        </w:rPr>
        <w:t>教学工作例会</w:t>
      </w:r>
      <w:r>
        <w:rPr>
          <w:rFonts w:ascii="仿宋" w:hAnsi="仿宋" w:eastAsia="仿宋"/>
          <w:sz w:val="32"/>
          <w:szCs w:val="32"/>
        </w:rPr>
        <w:t>，</w:t>
      </w:r>
      <w:r>
        <w:rPr>
          <w:rFonts w:hint="eastAsia" w:ascii="仿宋" w:hAnsi="仿宋" w:eastAsia="仿宋"/>
          <w:sz w:val="32"/>
          <w:szCs w:val="32"/>
        </w:rPr>
        <w:t>副校长付宏出席会议并讲话，各学院分管教学工作副院长（含继续教育学院、法商学院）、教务处、网教中心、实验教学中心、学工处负责人、教务处各科室负责人、教学督导、教学秘书</w:t>
      </w:r>
      <w:r>
        <w:rPr>
          <w:rFonts w:ascii="仿宋" w:hAnsi="仿宋" w:eastAsia="仿宋"/>
          <w:sz w:val="32"/>
          <w:szCs w:val="32"/>
        </w:rPr>
        <w:t>参加。</w:t>
      </w:r>
      <w:r>
        <w:rPr>
          <w:rFonts w:hint="eastAsia" w:ascii="仿宋" w:hAnsi="仿宋" w:eastAsia="仿宋"/>
          <w:sz w:val="32"/>
          <w:szCs w:val="32"/>
        </w:rPr>
        <w:t>现纪要如下：</w:t>
      </w:r>
    </w:p>
    <w:p>
      <w:pPr>
        <w:keepNext w:val="0"/>
        <w:keepLines w:val="0"/>
        <w:pageBreakBefore w:val="0"/>
        <w:widowControl w:val="0"/>
        <w:numPr>
          <w:ilvl w:val="0"/>
          <w:numId w:val="1"/>
        </w:numPr>
        <w:kinsoku/>
        <w:wordWrap/>
        <w:overflowPunct/>
        <w:topLinePunct w:val="0"/>
        <w:autoSpaceDE/>
        <w:autoSpaceDN/>
        <w:bidi w:val="0"/>
        <w:adjustRightInd/>
        <w:snapToGrid w:val="0"/>
        <w:spacing w:line="600" w:lineRule="exact"/>
        <w:ind w:firstLine="420" w:firstLineChars="0"/>
        <w:jc w:val="both"/>
        <w:textAlignment w:val="auto"/>
        <w:rPr>
          <w:rFonts w:hint="eastAsia" w:ascii="黑体" w:hAnsi="黑体" w:eastAsia="黑体" w:cs="黑体"/>
          <w:bCs/>
          <w:sz w:val="32"/>
          <w:szCs w:val="32"/>
        </w:rPr>
      </w:pPr>
      <w:r>
        <w:rPr>
          <w:rFonts w:hint="eastAsia" w:ascii="黑体" w:hAnsi="黑体" w:eastAsia="黑体" w:cs="黑体"/>
          <w:bCs/>
          <w:sz w:val="32"/>
          <w:szCs w:val="32"/>
        </w:rPr>
        <w:t>近期教学工作</w:t>
      </w:r>
      <w:r>
        <w:rPr>
          <w:rFonts w:hint="eastAsia" w:ascii="黑体" w:hAnsi="黑体" w:eastAsia="黑体" w:cs="黑体"/>
          <w:bCs/>
          <w:sz w:val="32"/>
          <w:szCs w:val="32"/>
          <w:lang w:eastAsia="zh-CN"/>
        </w:rPr>
        <w:t>提示</w:t>
      </w:r>
    </w:p>
    <w:p>
      <w:pPr>
        <w:keepNext w:val="0"/>
        <w:keepLines w:val="0"/>
        <w:pageBreakBefore w:val="0"/>
        <w:widowControl w:val="0"/>
        <w:kinsoku/>
        <w:wordWrap/>
        <w:overflowPunct/>
        <w:topLinePunct w:val="0"/>
        <w:autoSpaceDE/>
        <w:autoSpaceDN/>
        <w:bidi w:val="0"/>
        <w:adjustRightInd/>
        <w:spacing w:line="600" w:lineRule="exact"/>
        <w:ind w:firstLine="640" w:firstLineChars="200"/>
        <w:textAlignment w:val="auto"/>
        <w:rPr>
          <w:rFonts w:hint="eastAsia" w:ascii="仿宋" w:hAnsi="仿宋" w:eastAsia="仿宋"/>
          <w:sz w:val="32"/>
          <w:szCs w:val="32"/>
        </w:rPr>
      </w:pPr>
      <w:r>
        <w:rPr>
          <w:rFonts w:hint="eastAsia" w:ascii="仿宋" w:hAnsi="仿宋" w:eastAsia="仿宋"/>
          <w:sz w:val="32"/>
          <w:szCs w:val="32"/>
          <w:lang w:val="en-US" w:eastAsia="zh-CN"/>
        </w:rPr>
        <w:t>为保障2022年春季学期本科生教育教学相关工作平稳有序开展，根据《湖北经济学院2022年春季开学工作方案》及当前学校疫情防控形势，遵循师生健康优先地位、线上线下灵活结合、教学质量同质等效、疫情防控精准有效的原则，现对近期教学工作安排做出如下提示。</w:t>
      </w:r>
    </w:p>
    <w:p>
      <w:pPr>
        <w:spacing w:line="600" w:lineRule="exact"/>
        <w:ind w:firstLine="640" w:firstLineChars="200"/>
        <w:rPr>
          <w:rFonts w:hint="default" w:ascii="仿宋" w:hAnsi="仿宋" w:eastAsia="仿宋"/>
          <w:sz w:val="32"/>
          <w:szCs w:val="32"/>
        </w:rPr>
      </w:pPr>
      <w:r>
        <w:rPr>
          <w:rFonts w:hint="eastAsia" w:ascii="仿宋" w:hAnsi="仿宋" w:eastAsia="仿宋"/>
          <w:sz w:val="32"/>
          <w:szCs w:val="32"/>
          <w:lang w:val="en-US" w:eastAsia="zh-CN"/>
        </w:rPr>
        <w:t>（一）课程教学</w:t>
      </w:r>
    </w:p>
    <w:p>
      <w:pPr>
        <w:spacing w:line="600" w:lineRule="exact"/>
        <w:ind w:firstLine="640" w:firstLineChars="200"/>
        <w:rPr>
          <w:rFonts w:hint="default" w:ascii="仿宋" w:hAnsi="仿宋" w:eastAsia="仿宋"/>
          <w:sz w:val="32"/>
          <w:szCs w:val="32"/>
        </w:rPr>
      </w:pPr>
      <w:r>
        <w:rPr>
          <w:rFonts w:hint="eastAsia" w:ascii="仿宋" w:hAnsi="仿宋" w:eastAsia="仿宋"/>
          <w:sz w:val="32"/>
          <w:szCs w:val="32"/>
          <w:lang w:val="en-US" w:eastAsia="zh-CN"/>
        </w:rPr>
        <w:t>1.开展形式</w:t>
      </w:r>
    </w:p>
    <w:p>
      <w:pPr>
        <w:spacing w:line="600" w:lineRule="exact"/>
        <w:ind w:firstLine="640" w:firstLineChars="200"/>
        <w:rPr>
          <w:rFonts w:hint="default" w:ascii="仿宋" w:hAnsi="仿宋" w:eastAsia="仿宋"/>
          <w:sz w:val="32"/>
          <w:szCs w:val="32"/>
        </w:rPr>
      </w:pPr>
      <w:r>
        <w:rPr>
          <w:rFonts w:hint="eastAsia" w:ascii="仿宋" w:hAnsi="仿宋" w:eastAsia="仿宋"/>
          <w:sz w:val="32"/>
          <w:szCs w:val="32"/>
          <w:lang w:val="en-US" w:eastAsia="zh-CN"/>
        </w:rPr>
        <w:t>各学院应对师生实际情况进行摸底统计，并据此开展不同形式的教学模式，情况分类及相应安排如下：</w:t>
      </w:r>
    </w:p>
    <w:p>
      <w:pPr>
        <w:spacing w:line="600" w:lineRule="exact"/>
        <w:ind w:firstLine="640" w:firstLineChars="200"/>
        <w:rPr>
          <w:rFonts w:hint="default" w:ascii="仿宋" w:hAnsi="仿宋" w:eastAsia="仿宋"/>
          <w:sz w:val="32"/>
          <w:szCs w:val="32"/>
        </w:rPr>
      </w:pPr>
      <w:r>
        <w:rPr>
          <w:rFonts w:hint="eastAsia" w:ascii="仿宋" w:hAnsi="仿宋" w:eastAsia="仿宋"/>
          <w:sz w:val="32"/>
          <w:szCs w:val="32"/>
          <w:lang w:val="en-US" w:eastAsia="zh-CN"/>
        </w:rPr>
        <w:t>23-24日，因教学场地消杀需要，所有课程采取线上教学，教师原则上务必到学校开展直播授课，第一周所有通识选修课程停课；若24日后学校仍未解除管控，则按以下情况分类开展教学：</w:t>
      </w:r>
    </w:p>
    <w:p>
      <w:pPr>
        <w:spacing w:line="600" w:lineRule="exact"/>
        <w:ind w:firstLine="640" w:firstLineChars="200"/>
        <w:rPr>
          <w:rFonts w:hint="default" w:ascii="仿宋" w:hAnsi="仿宋" w:eastAsia="仿宋"/>
          <w:sz w:val="32"/>
          <w:szCs w:val="32"/>
        </w:rPr>
      </w:pPr>
      <w:r>
        <w:rPr>
          <w:rFonts w:hint="eastAsia" w:ascii="仿宋" w:hAnsi="仿宋" w:eastAsia="仿宋"/>
          <w:sz w:val="32"/>
          <w:szCs w:val="32"/>
          <w:lang w:val="en-US" w:eastAsia="zh-CN"/>
        </w:rPr>
        <w:t>（1）教师未被隔离，学生被隔离：教师到课表指定教室直播授课，学生在隔离场所上课。</w:t>
      </w:r>
    </w:p>
    <w:p>
      <w:pPr>
        <w:spacing w:line="600" w:lineRule="exact"/>
        <w:ind w:firstLine="640" w:firstLineChars="200"/>
        <w:rPr>
          <w:rFonts w:hint="default" w:ascii="仿宋" w:hAnsi="仿宋" w:eastAsia="仿宋"/>
          <w:sz w:val="32"/>
          <w:szCs w:val="32"/>
        </w:rPr>
      </w:pPr>
      <w:r>
        <w:rPr>
          <w:rFonts w:hint="eastAsia" w:ascii="仿宋" w:hAnsi="仿宋" w:eastAsia="仿宋"/>
          <w:sz w:val="32"/>
          <w:szCs w:val="32"/>
          <w:lang w:val="en-US" w:eastAsia="zh-CN"/>
        </w:rPr>
        <w:t>（2）教师被隔离，学生未被隔离：教师在隔离场所直播授课，学生在课表指定教室上课，由任课教师指定1名学生播放直播。</w:t>
      </w:r>
    </w:p>
    <w:p>
      <w:pPr>
        <w:spacing w:line="600" w:lineRule="exact"/>
        <w:ind w:firstLine="640" w:firstLineChars="200"/>
        <w:rPr>
          <w:rFonts w:hint="default" w:ascii="仿宋" w:hAnsi="仿宋" w:eastAsia="仿宋"/>
          <w:sz w:val="32"/>
          <w:szCs w:val="32"/>
        </w:rPr>
      </w:pPr>
      <w:r>
        <w:rPr>
          <w:rFonts w:hint="eastAsia" w:ascii="仿宋" w:hAnsi="仿宋" w:eastAsia="仿宋"/>
          <w:sz w:val="32"/>
          <w:szCs w:val="32"/>
          <w:lang w:val="en-US" w:eastAsia="zh-CN"/>
        </w:rPr>
        <w:t>（3）教师和学生均被隔离：教师及学生均在隔离场所进行线上教学。</w:t>
      </w:r>
    </w:p>
    <w:p>
      <w:pPr>
        <w:spacing w:line="600" w:lineRule="exact"/>
        <w:ind w:firstLine="640" w:firstLineChars="200"/>
        <w:rPr>
          <w:rFonts w:hint="default" w:ascii="仿宋" w:hAnsi="仿宋" w:eastAsia="仿宋"/>
          <w:sz w:val="32"/>
          <w:szCs w:val="32"/>
        </w:rPr>
      </w:pPr>
      <w:r>
        <w:rPr>
          <w:rFonts w:hint="eastAsia" w:ascii="仿宋" w:hAnsi="仿宋" w:eastAsia="仿宋"/>
          <w:sz w:val="32"/>
          <w:szCs w:val="32"/>
          <w:lang w:val="en-US" w:eastAsia="zh-CN"/>
        </w:rPr>
        <w:t>（4）教师和学生均未被隔离：正常线下上课。如该教学班有部分学生被隔离，则隔离学生在隔离场所线上上课，未被隔离的教师和学生仍在教室正常上课，由教师开启同步直播，并指定一名学生做助管配合操作，实现隔离学生的在线上课。</w:t>
      </w:r>
    </w:p>
    <w:p>
      <w:pPr>
        <w:spacing w:line="600" w:lineRule="exact"/>
        <w:ind w:firstLine="640" w:firstLineChars="200"/>
        <w:rPr>
          <w:rFonts w:hint="default" w:ascii="仿宋" w:hAnsi="仿宋" w:eastAsia="仿宋"/>
          <w:sz w:val="32"/>
          <w:szCs w:val="32"/>
        </w:rPr>
      </w:pPr>
      <w:r>
        <w:rPr>
          <w:rFonts w:hint="eastAsia" w:ascii="仿宋" w:hAnsi="仿宋" w:eastAsia="仿宋"/>
          <w:sz w:val="32"/>
          <w:szCs w:val="32"/>
          <w:lang w:val="en-US" w:eastAsia="zh-CN"/>
        </w:rPr>
        <w:t>教务处会根据防控形势变化，及时发布最新教学安排，请各学院密切关注。</w:t>
      </w:r>
    </w:p>
    <w:p>
      <w:pPr>
        <w:spacing w:line="600" w:lineRule="exact"/>
        <w:ind w:firstLine="640" w:firstLineChars="200"/>
        <w:rPr>
          <w:rFonts w:hint="default" w:ascii="仿宋" w:hAnsi="仿宋" w:eastAsia="仿宋"/>
          <w:sz w:val="32"/>
          <w:szCs w:val="32"/>
        </w:rPr>
      </w:pPr>
      <w:r>
        <w:rPr>
          <w:rFonts w:hint="eastAsia" w:ascii="仿宋" w:hAnsi="仿宋" w:eastAsia="仿宋"/>
          <w:sz w:val="32"/>
          <w:szCs w:val="32"/>
          <w:lang w:val="en-US" w:eastAsia="zh-CN"/>
        </w:rPr>
        <w:t>2.开展要求</w:t>
      </w:r>
    </w:p>
    <w:p>
      <w:pPr>
        <w:spacing w:line="600" w:lineRule="exact"/>
        <w:ind w:firstLine="640" w:firstLineChars="200"/>
        <w:rPr>
          <w:rFonts w:hint="default" w:ascii="仿宋" w:hAnsi="仿宋" w:eastAsia="仿宋"/>
          <w:sz w:val="32"/>
          <w:szCs w:val="32"/>
        </w:rPr>
      </w:pPr>
      <w:r>
        <w:rPr>
          <w:rFonts w:hint="eastAsia" w:ascii="仿宋" w:hAnsi="仿宋" w:eastAsia="仿宋"/>
          <w:sz w:val="32"/>
          <w:szCs w:val="32"/>
          <w:lang w:val="en-US" w:eastAsia="zh-CN"/>
        </w:rPr>
        <w:t>各学院组织任课教师应保障以下教学环节。第一，在课前环节，任课教师应发布学习任务。使用慕课资源开展线上+直播混合式教学的课程可于课前发布慕课视频观看、章节测验、文档阅读任务。不使用慕课资源开展直播教学的课程可于课前发布讨论、阅读相应文献资料等教学任务。第二，在课中环节，任课教师可利用网络课程教学平台以及学习通APP授课，开展课堂活动。第三，教师可将习题导入网络课程教学平台发布作业，并根据授课内容比重将网络课程平台学习情况记入学期期末考核。</w:t>
      </w:r>
    </w:p>
    <w:p>
      <w:pPr>
        <w:spacing w:line="600" w:lineRule="exact"/>
        <w:ind w:firstLine="640" w:firstLineChars="200"/>
        <w:rPr>
          <w:rFonts w:hint="default" w:ascii="仿宋" w:hAnsi="仿宋" w:eastAsia="仿宋"/>
          <w:sz w:val="32"/>
          <w:szCs w:val="32"/>
        </w:rPr>
      </w:pPr>
      <w:r>
        <w:rPr>
          <w:rFonts w:hint="eastAsia" w:ascii="仿宋" w:hAnsi="仿宋" w:eastAsia="仿宋"/>
          <w:sz w:val="32"/>
          <w:szCs w:val="32"/>
          <w:lang w:val="en-US" w:eastAsia="zh-CN"/>
        </w:rPr>
        <w:t>（二）教学检查</w:t>
      </w:r>
    </w:p>
    <w:p>
      <w:pPr>
        <w:spacing w:line="600" w:lineRule="exact"/>
        <w:ind w:firstLine="640" w:firstLineChars="200"/>
        <w:rPr>
          <w:rFonts w:hint="default" w:ascii="仿宋" w:hAnsi="仿宋" w:eastAsia="仿宋"/>
          <w:sz w:val="32"/>
          <w:szCs w:val="32"/>
        </w:rPr>
      </w:pPr>
      <w:r>
        <w:rPr>
          <w:rFonts w:hint="eastAsia" w:ascii="仿宋" w:hAnsi="仿宋" w:eastAsia="仿宋"/>
          <w:sz w:val="32"/>
          <w:szCs w:val="32"/>
          <w:lang w:val="en-US" w:eastAsia="zh-CN"/>
        </w:rPr>
        <w:t>开学第一周教学检查工作按原安排进行，日常教学巡查、领导干部听课及督导查课采取线上线下相结合的方式进行。</w:t>
      </w:r>
    </w:p>
    <w:p>
      <w:pPr>
        <w:spacing w:line="600" w:lineRule="exact"/>
        <w:ind w:firstLine="640" w:firstLineChars="200"/>
        <w:rPr>
          <w:rFonts w:hint="default" w:ascii="仿宋" w:hAnsi="仿宋" w:eastAsia="仿宋"/>
          <w:sz w:val="32"/>
          <w:szCs w:val="32"/>
        </w:rPr>
      </w:pPr>
      <w:r>
        <w:rPr>
          <w:rFonts w:hint="eastAsia" w:ascii="仿宋" w:hAnsi="仿宋" w:eastAsia="仿宋"/>
          <w:sz w:val="32"/>
          <w:szCs w:val="32"/>
          <w:lang w:val="en-US" w:eastAsia="zh-CN"/>
        </w:rPr>
        <w:t>（三）学籍异动学生课程补修及免修</w:t>
      </w:r>
    </w:p>
    <w:p>
      <w:pPr>
        <w:spacing w:line="600" w:lineRule="exact"/>
        <w:ind w:firstLine="640" w:firstLineChars="200"/>
        <w:rPr>
          <w:rFonts w:hint="default" w:ascii="仿宋" w:hAnsi="仿宋" w:eastAsia="仿宋"/>
          <w:sz w:val="32"/>
          <w:szCs w:val="32"/>
        </w:rPr>
      </w:pPr>
      <w:r>
        <w:rPr>
          <w:rFonts w:hint="eastAsia" w:ascii="仿宋" w:hAnsi="仿宋" w:eastAsia="仿宋"/>
          <w:sz w:val="32"/>
          <w:szCs w:val="32"/>
          <w:lang w:val="en-US" w:eastAsia="zh-CN"/>
        </w:rPr>
        <w:t>学籍异动学生课程补修及免修将延长报名及审核时间，被隔离学生可在解除隔离后到教务处办理。</w:t>
      </w:r>
    </w:p>
    <w:p>
      <w:pPr>
        <w:spacing w:line="600" w:lineRule="exact"/>
        <w:ind w:firstLine="640" w:firstLineChars="200"/>
        <w:rPr>
          <w:rFonts w:hint="default" w:ascii="仿宋" w:hAnsi="仿宋" w:eastAsia="仿宋"/>
          <w:sz w:val="32"/>
          <w:szCs w:val="32"/>
        </w:rPr>
      </w:pPr>
      <w:r>
        <w:rPr>
          <w:rFonts w:hint="eastAsia" w:ascii="仿宋" w:hAnsi="仿宋" w:eastAsia="仿宋"/>
          <w:sz w:val="32"/>
          <w:szCs w:val="32"/>
          <w:lang w:val="en-US" w:eastAsia="zh-CN"/>
        </w:rPr>
        <w:t>（四）缓考及补考</w:t>
      </w:r>
    </w:p>
    <w:p>
      <w:pPr>
        <w:spacing w:line="600" w:lineRule="exact"/>
        <w:ind w:firstLine="640" w:firstLineChars="200"/>
        <w:rPr>
          <w:rFonts w:hint="default" w:ascii="仿宋" w:hAnsi="仿宋" w:eastAsia="仿宋"/>
          <w:sz w:val="32"/>
          <w:szCs w:val="32"/>
        </w:rPr>
      </w:pPr>
      <w:r>
        <w:rPr>
          <w:rFonts w:hint="eastAsia" w:ascii="仿宋" w:hAnsi="仿宋" w:eastAsia="仿宋"/>
          <w:sz w:val="32"/>
          <w:szCs w:val="32"/>
          <w:lang w:val="en-US" w:eastAsia="zh-CN"/>
        </w:rPr>
        <w:t>缓考及补考的报名工作已结束，考试受疫情影响将延期，具体考试时间以教务处后续通知为准。</w:t>
      </w:r>
    </w:p>
    <w:p>
      <w:pPr>
        <w:spacing w:line="600" w:lineRule="exact"/>
        <w:ind w:firstLine="640" w:firstLineChars="200"/>
        <w:rPr>
          <w:rFonts w:hint="default" w:ascii="仿宋" w:hAnsi="仿宋" w:eastAsia="仿宋"/>
          <w:sz w:val="32"/>
          <w:szCs w:val="32"/>
        </w:rPr>
      </w:pPr>
      <w:r>
        <w:rPr>
          <w:rFonts w:hint="eastAsia" w:ascii="仿宋" w:hAnsi="仿宋" w:eastAsia="仿宋"/>
          <w:sz w:val="32"/>
          <w:szCs w:val="32"/>
          <w:lang w:val="en-US" w:eastAsia="zh-CN"/>
        </w:rPr>
        <w:t>（五）学分认定及转换</w:t>
      </w:r>
    </w:p>
    <w:p>
      <w:pPr>
        <w:spacing w:line="600" w:lineRule="exact"/>
        <w:ind w:firstLine="640" w:firstLineChars="200"/>
        <w:rPr>
          <w:rFonts w:hint="default" w:ascii="仿宋" w:hAnsi="仿宋" w:eastAsia="仿宋"/>
          <w:sz w:val="32"/>
          <w:szCs w:val="32"/>
        </w:rPr>
      </w:pPr>
      <w:r>
        <w:rPr>
          <w:rFonts w:hint="eastAsia" w:ascii="仿宋" w:hAnsi="仿宋" w:eastAsia="仿宋"/>
          <w:sz w:val="32"/>
          <w:szCs w:val="32"/>
          <w:lang w:val="en-US" w:eastAsia="zh-CN"/>
        </w:rPr>
        <w:t>因转专业及复学需做学分认定和转换的学生可进行线上办理，暂时无需提供纸质学分转换申请表。</w:t>
      </w:r>
    </w:p>
    <w:p>
      <w:pPr>
        <w:spacing w:line="600" w:lineRule="exact"/>
        <w:ind w:firstLine="640" w:firstLineChars="200"/>
        <w:rPr>
          <w:rFonts w:hint="default" w:ascii="仿宋" w:hAnsi="仿宋" w:eastAsia="仿宋"/>
          <w:sz w:val="32"/>
          <w:szCs w:val="32"/>
        </w:rPr>
      </w:pPr>
      <w:r>
        <w:rPr>
          <w:rFonts w:hint="eastAsia" w:ascii="仿宋" w:hAnsi="仿宋" w:eastAsia="仿宋"/>
          <w:sz w:val="32"/>
          <w:szCs w:val="32"/>
          <w:lang w:val="en-US" w:eastAsia="zh-CN"/>
        </w:rPr>
        <w:t>学生在教务系统提交课程替代和学分节点替换申请后，直接发送邮件至学籍管理办公室邮箱jwcxjb@hbue.edu.cn（邮件主题：学号+姓名+申请学分转换+联系电话）。审核过程中如有问题将电话联系学生或者回复邮件，请及时关注。</w:t>
      </w:r>
    </w:p>
    <w:p>
      <w:pPr>
        <w:spacing w:line="600" w:lineRule="exact"/>
        <w:ind w:firstLine="640" w:firstLineChars="200"/>
        <w:rPr>
          <w:rFonts w:hint="default" w:ascii="仿宋" w:hAnsi="仿宋" w:eastAsia="仿宋"/>
          <w:sz w:val="32"/>
          <w:szCs w:val="32"/>
        </w:rPr>
      </w:pPr>
      <w:r>
        <w:rPr>
          <w:rFonts w:hint="eastAsia" w:ascii="仿宋" w:hAnsi="仿宋" w:eastAsia="仿宋"/>
          <w:sz w:val="32"/>
          <w:szCs w:val="32"/>
          <w:lang w:val="en-US" w:eastAsia="zh-CN"/>
        </w:rPr>
        <w:t>（六）教学保障</w:t>
      </w:r>
    </w:p>
    <w:p>
      <w:pPr>
        <w:spacing w:line="600" w:lineRule="exact"/>
        <w:ind w:firstLine="640" w:firstLineChars="200"/>
        <w:rPr>
          <w:rFonts w:hint="default" w:ascii="仿宋" w:hAnsi="仿宋" w:eastAsia="仿宋"/>
          <w:sz w:val="32"/>
          <w:szCs w:val="32"/>
        </w:rPr>
      </w:pPr>
      <w:r>
        <w:rPr>
          <w:rFonts w:hint="eastAsia" w:ascii="仿宋" w:hAnsi="仿宋" w:eastAsia="仿宋"/>
          <w:sz w:val="32"/>
          <w:szCs w:val="32"/>
          <w:lang w:val="en-US" w:eastAsia="zh-CN"/>
        </w:rPr>
        <w:t>根据疫情防控要求，教务处、网络教学中心、学工处应从教学运行、教育技术支持、学生教育管理、线下防疫等方面积极配合，做好教学保障工作。</w:t>
      </w:r>
    </w:p>
    <w:p>
      <w:pPr>
        <w:spacing w:line="600" w:lineRule="exact"/>
        <w:ind w:firstLine="640" w:firstLineChars="200"/>
        <w:rPr>
          <w:rFonts w:hint="default" w:ascii="仿宋" w:hAnsi="仿宋" w:eastAsia="仿宋"/>
          <w:sz w:val="32"/>
          <w:szCs w:val="32"/>
        </w:rPr>
      </w:pPr>
      <w:r>
        <w:rPr>
          <w:rFonts w:hint="eastAsia" w:ascii="仿宋" w:hAnsi="仿宋" w:eastAsia="仿宋"/>
          <w:sz w:val="32"/>
          <w:szCs w:val="32"/>
          <w:lang w:val="en-US" w:eastAsia="zh-CN"/>
        </w:rPr>
        <w:t>各学院教研室和课程组要统筹安排全学期的教学进度和教学要求，做好近期线上线下教学工作的组织和开展工作；各任课教师应与学生保持沟通，做好学生的学习答疑和指导，确保线下线上教学同质等效；学院应指定辅导员、班主任联系被隔离的学生，指导每位学生合理学习时间。班长及学习委员应做好信息传达工作，及时同步学校通知。学生应准备好线上线下两种学习模式相关设备、工具和资料，遵守课堂纪律，按时完成学习任务，主动积极参与教学活动。</w:t>
      </w:r>
    </w:p>
    <w:p>
      <w:pPr>
        <w:keepNext w:val="0"/>
        <w:keepLines w:val="0"/>
        <w:pageBreakBefore w:val="0"/>
        <w:widowControl w:val="0"/>
        <w:kinsoku/>
        <w:wordWrap/>
        <w:overflowPunct/>
        <w:topLinePunct w:val="0"/>
        <w:autoSpaceDE/>
        <w:autoSpaceDN/>
        <w:bidi w:val="0"/>
        <w:adjustRightInd/>
        <w:snapToGrid/>
        <w:spacing w:after="157" w:afterLines="50" w:line="600" w:lineRule="exact"/>
        <w:ind w:firstLine="640" w:firstLineChars="200"/>
        <w:textAlignment w:val="auto"/>
        <w:rPr>
          <w:rFonts w:hint="eastAsia" w:ascii="黑体" w:hAnsi="黑体" w:eastAsia="黑体" w:cs="黑体"/>
          <w:bCs/>
          <w:sz w:val="32"/>
          <w:szCs w:val="32"/>
          <w:lang w:val="en-US" w:eastAsia="zh-CN"/>
        </w:rPr>
      </w:pPr>
      <w:r>
        <w:rPr>
          <w:rFonts w:hint="eastAsia" w:ascii="黑体" w:hAnsi="黑体" w:eastAsia="黑体" w:cs="黑体"/>
          <w:bCs/>
          <w:sz w:val="32"/>
          <w:szCs w:val="32"/>
          <w:lang w:val="en-US" w:eastAsia="zh-CN"/>
        </w:rPr>
        <w:t>二、布置近期实践教学工作</w:t>
      </w:r>
    </w:p>
    <w:p>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firstLine="640" w:firstLineChars="200"/>
        <w:jc w:val="both"/>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（一）毕业实习及毕业论文</w:t>
      </w:r>
    </w:p>
    <w:p>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firstLine="640" w:firstLineChars="200"/>
        <w:jc w:val="both"/>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毕业论文：还未在格子达系统确认毕业论文选题以及上传开题报告的同学，请最迟在下周五（3月4日）之前，在系统完成选题上传确认以及开题报告的上传及审核环节。</w:t>
      </w:r>
    </w:p>
    <w:p>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firstLine="640" w:firstLineChars="200"/>
        <w:jc w:val="both"/>
        <w:textAlignment w:val="auto"/>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毕业实习：各学院在下周一（2月28日）之前汇总“2022届毕业生毕业实习安排表”发送至教务处实践办汇总，有特殊情况未开始实习的同学需在备注栏注明原因，教务处后期将根据此汇总表开展毕业实习的专项检查工作。</w:t>
      </w:r>
    </w:p>
    <w:p>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firstLine="640" w:firstLineChars="200"/>
        <w:jc w:val="both"/>
        <w:textAlignment w:val="auto"/>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（二）实践教学工作量涉及的相关环节</w:t>
      </w:r>
    </w:p>
    <w:p>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firstLine="640" w:firstLineChars="200"/>
        <w:jc w:val="both"/>
        <w:textAlignment w:val="auto"/>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1.毕业实习、中期实训中由教师带队集中实习的需在实习开始之前向教务处报备具体的实习方案，实习方案中需要明确具体的实习安排，包括带队实习的教师、实习的天数（按照现行的工作量计算办法，一天为3个课时）、地点，实习结束后需提交实习总结，年底将根据方案中的带队实习天数进行实践教学工作量的核算。</w:t>
      </w:r>
    </w:p>
    <w:p>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firstLine="640" w:firstLineChars="200"/>
        <w:jc w:val="both"/>
        <w:textAlignment w:val="auto"/>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2.毕业论文、中期论文需提前提交工作方案，论文完成之后，需将毕业论文、中期论文的成绩汇总表提交实践办备查。</w:t>
      </w:r>
    </w:p>
    <w:p>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firstLine="640" w:firstLineChars="200"/>
        <w:jc w:val="both"/>
        <w:textAlignment w:val="auto"/>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3.其它实践教学环节：除实习实训、论文外的培养方案中要求的实践教学环节均需按照“申报+审批”的流程进行，在相关实践教学环节开展之前需将具体的执行方案报教务处实践办审批，方案中需明确实践教学环节的开展方式、任教老师信息、课时分配等关键内容，实践教学环节开展结束之后也需及时提交相关总结。</w:t>
      </w:r>
    </w:p>
    <w:p>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firstLine="640" w:firstLineChars="200"/>
        <w:jc w:val="both"/>
        <w:textAlignment w:val="auto"/>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4.本年度年底实践教学工作量的核算，将全部依据各学院的申报情况进行核算，未严格执行“申报+审批”制度的均不予计算工作量。此外，实践教学的工作量是指培养方案中包含的各类实践教学环节所产生的工作量，未列入学生培养方案的教学环节原则上不计算实践教学工作量。</w:t>
      </w:r>
    </w:p>
    <w:p>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firstLine="640" w:firstLineChars="200"/>
        <w:jc w:val="both"/>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（三）学科竞赛管理</w:t>
      </w:r>
    </w:p>
    <w:p>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firstLine="640" w:firstLineChars="200"/>
        <w:jc w:val="both"/>
        <w:textAlignment w:val="auto"/>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各学院请在本周五（2月25日）之前将本年度学科竞赛的申报汇总表、学科竞赛申报表、拟参加学科竞赛的最新赛事指南及通知交至教务处实践办，教务处统筹汇总后将公布2022年学科竞赛指南。本年度工作量和积分计算、成果认定等所有学科竞赛相关工作将严格按照指南内的项目进行。</w:t>
      </w:r>
    </w:p>
    <w:p>
      <w:pPr>
        <w:keepNext w:val="0"/>
        <w:keepLines w:val="0"/>
        <w:pageBreakBefore w:val="0"/>
        <w:widowControl w:val="0"/>
        <w:kinsoku/>
        <w:wordWrap/>
        <w:overflowPunct/>
        <w:topLinePunct w:val="0"/>
        <w:autoSpaceDE/>
        <w:autoSpaceDN/>
        <w:bidi w:val="0"/>
        <w:adjustRightInd/>
        <w:snapToGrid/>
        <w:spacing w:after="157" w:afterLines="50" w:line="600" w:lineRule="exact"/>
        <w:ind w:firstLine="640" w:firstLineChars="200"/>
        <w:textAlignment w:val="auto"/>
        <w:rPr>
          <w:rFonts w:ascii="黑体" w:hAnsi="黑体" w:eastAsia="黑体" w:cs="黑体"/>
          <w:bCs/>
          <w:sz w:val="32"/>
          <w:szCs w:val="32"/>
        </w:rPr>
      </w:pPr>
      <w:r>
        <w:rPr>
          <w:rFonts w:hint="eastAsia" w:ascii="黑体" w:hAnsi="黑体" w:eastAsia="黑体" w:cs="黑体"/>
          <w:bCs/>
          <w:sz w:val="32"/>
          <w:szCs w:val="32"/>
        </w:rPr>
        <w:t>三、布置近期实验教学工作</w:t>
      </w:r>
    </w:p>
    <w:p>
      <w:pPr>
        <w:ind w:firstLine="640" w:firstLineChars="200"/>
        <w:rPr>
          <w:rFonts w:hint="eastAsia" w:ascii="仿宋" w:hAnsi="仿宋" w:eastAsia="仿宋"/>
          <w:sz w:val="32"/>
          <w:szCs w:val="32"/>
          <w:lang w:eastAsia="zh-CN"/>
        </w:rPr>
      </w:pPr>
      <w:r>
        <w:rPr>
          <w:rFonts w:hint="eastAsia" w:ascii="仿宋" w:hAnsi="仿宋" w:eastAsia="仿宋"/>
          <w:sz w:val="32"/>
          <w:szCs w:val="32"/>
        </w:rPr>
        <w:t>（一）</w:t>
      </w:r>
      <w:r>
        <w:rPr>
          <w:rFonts w:hint="eastAsia" w:ascii="仿宋" w:hAnsi="仿宋" w:eastAsia="仿宋"/>
          <w:sz w:val="32"/>
          <w:szCs w:val="32"/>
          <w:lang w:eastAsia="zh-CN"/>
        </w:rPr>
        <w:t>继续开展跨专业多专业实验教学，主要包括企业沙盘推演、ERPⅡ</w:t>
      </w:r>
      <w:r>
        <w:rPr>
          <w:rFonts w:hint="eastAsia" w:ascii="仿宋" w:hAnsi="仿宋" w:eastAsia="仿宋"/>
          <w:sz w:val="32"/>
          <w:szCs w:val="32"/>
          <w:lang w:eastAsia="zh-CN"/>
        </w:rPr>
        <w:t>和经营管理综合仿真实习三门课程，希望各学院在教学团队组建、培训、教学等相关环节加强参与。</w:t>
      </w:r>
    </w:p>
    <w:p>
      <w:pPr>
        <w:ind w:firstLine="640" w:firstLineChars="200"/>
        <w:rPr>
          <w:rFonts w:ascii="仿宋" w:hAnsi="仿宋" w:eastAsia="仿宋"/>
          <w:sz w:val="32"/>
          <w:szCs w:val="32"/>
        </w:rPr>
      </w:pPr>
      <w:r>
        <w:rPr>
          <w:rFonts w:hint="eastAsia" w:ascii="仿宋" w:hAnsi="仿宋" w:eastAsia="仿宋"/>
          <w:sz w:val="32"/>
          <w:szCs w:val="32"/>
        </w:rPr>
        <w:t>（二）</w:t>
      </w:r>
      <w:r>
        <w:rPr>
          <w:rFonts w:hint="eastAsia" w:ascii="仿宋" w:hAnsi="仿宋" w:eastAsia="仿宋"/>
          <w:sz w:val="32"/>
          <w:szCs w:val="32"/>
          <w:lang w:eastAsia="zh-CN"/>
        </w:rPr>
        <w:t>持续推进虚拟仿真实验教学建设，为申报国家级、省级金课做好准备，继续推进相关课程建设。</w:t>
      </w:r>
    </w:p>
    <w:p>
      <w:pPr>
        <w:ind w:firstLine="640" w:firstLineChars="200"/>
        <w:rPr>
          <w:rFonts w:hint="eastAsia" w:ascii="仿宋" w:hAnsi="仿宋" w:eastAsia="仿宋"/>
          <w:sz w:val="32"/>
          <w:szCs w:val="32"/>
          <w:lang w:eastAsia="zh-CN"/>
        </w:rPr>
      </w:pPr>
      <w:r>
        <w:rPr>
          <w:rFonts w:hint="eastAsia" w:ascii="仿宋" w:hAnsi="仿宋" w:eastAsia="仿宋"/>
          <w:sz w:val="32"/>
          <w:szCs w:val="32"/>
        </w:rPr>
        <w:t>（三）</w:t>
      </w:r>
      <w:r>
        <w:rPr>
          <w:rFonts w:hint="eastAsia" w:ascii="仿宋" w:hAnsi="仿宋" w:eastAsia="仿宋"/>
          <w:sz w:val="32"/>
          <w:szCs w:val="32"/>
          <w:lang w:eastAsia="zh-CN"/>
        </w:rPr>
        <w:t>协调做好</w:t>
      </w:r>
      <w:r>
        <w:rPr>
          <w:rFonts w:hint="eastAsia" w:ascii="仿宋" w:hAnsi="仿宋" w:eastAsia="仿宋"/>
          <w:sz w:val="32"/>
          <w:szCs w:val="32"/>
        </w:rPr>
        <w:t>全国大学生电子商务“创新、创意及创业”挑战赛</w:t>
      </w:r>
      <w:r>
        <w:rPr>
          <w:rFonts w:hint="eastAsia" w:ascii="仿宋" w:hAnsi="仿宋" w:eastAsia="仿宋"/>
          <w:sz w:val="32"/>
          <w:szCs w:val="32"/>
          <w:lang w:eastAsia="zh-CN"/>
        </w:rPr>
        <w:t>工作，实验教学中心将对比赛提供相关支持，</w:t>
      </w:r>
      <w:r>
        <w:rPr>
          <w:rFonts w:hint="eastAsia" w:ascii="仿宋" w:hAnsi="仿宋" w:eastAsia="仿宋"/>
          <w:sz w:val="32"/>
          <w:szCs w:val="32"/>
        </w:rPr>
        <w:t>请各学院</w:t>
      </w:r>
      <w:r>
        <w:rPr>
          <w:rFonts w:hint="eastAsia" w:ascii="仿宋" w:hAnsi="仿宋" w:eastAsia="仿宋"/>
          <w:sz w:val="32"/>
          <w:szCs w:val="32"/>
          <w:lang w:eastAsia="zh-CN"/>
        </w:rPr>
        <w:t>重视</w:t>
      </w:r>
      <w:r>
        <w:rPr>
          <w:rFonts w:hint="eastAsia" w:ascii="仿宋" w:hAnsi="仿宋" w:eastAsia="仿宋"/>
          <w:sz w:val="32"/>
          <w:szCs w:val="32"/>
        </w:rPr>
        <w:t>参赛</w:t>
      </w:r>
      <w:r>
        <w:rPr>
          <w:rFonts w:hint="eastAsia" w:ascii="仿宋" w:hAnsi="仿宋" w:eastAsia="仿宋"/>
          <w:sz w:val="32"/>
          <w:szCs w:val="32"/>
          <w:lang w:eastAsia="zh-CN"/>
        </w:rPr>
        <w:t>前准备</w:t>
      </w:r>
      <w:r>
        <w:rPr>
          <w:rFonts w:hint="eastAsia" w:ascii="仿宋" w:hAnsi="仿宋" w:eastAsia="仿宋"/>
          <w:sz w:val="32"/>
          <w:szCs w:val="32"/>
        </w:rPr>
        <w:t>工作</w:t>
      </w:r>
      <w:r>
        <w:rPr>
          <w:rFonts w:hint="eastAsia" w:ascii="仿宋" w:hAnsi="仿宋" w:eastAsia="仿宋"/>
          <w:sz w:val="32"/>
          <w:szCs w:val="32"/>
          <w:lang w:eastAsia="zh-CN"/>
        </w:rPr>
        <w:t>，</w:t>
      </w:r>
      <w:r>
        <w:rPr>
          <w:rFonts w:hint="eastAsia" w:ascii="仿宋" w:hAnsi="仿宋" w:eastAsia="仿宋"/>
          <w:sz w:val="32"/>
          <w:szCs w:val="32"/>
        </w:rPr>
        <w:t>做好</w:t>
      </w:r>
      <w:r>
        <w:rPr>
          <w:rFonts w:hint="eastAsia" w:ascii="仿宋" w:hAnsi="仿宋" w:eastAsia="仿宋"/>
          <w:sz w:val="32"/>
          <w:szCs w:val="32"/>
          <w:lang w:eastAsia="zh-CN"/>
        </w:rPr>
        <w:t>师生培训。</w:t>
      </w:r>
    </w:p>
    <w:p>
      <w:pPr>
        <w:ind w:firstLine="640" w:firstLineChars="200"/>
        <w:rPr>
          <w:rFonts w:hint="eastAsia" w:ascii="仿宋" w:hAnsi="仿宋" w:eastAsia="仿宋"/>
          <w:sz w:val="32"/>
          <w:szCs w:val="32"/>
          <w:lang w:eastAsia="zh-CN"/>
        </w:rPr>
      </w:pPr>
      <w:r>
        <w:rPr>
          <w:rFonts w:hint="eastAsia" w:ascii="仿宋" w:hAnsi="仿宋" w:eastAsia="仿宋"/>
          <w:sz w:val="32"/>
          <w:szCs w:val="32"/>
        </w:rPr>
        <w:t>（四）</w:t>
      </w:r>
      <w:r>
        <w:rPr>
          <w:rFonts w:hint="eastAsia" w:ascii="仿宋" w:hAnsi="仿宋" w:eastAsia="仿宋"/>
          <w:sz w:val="32"/>
          <w:szCs w:val="32"/>
          <w:lang w:eastAsia="zh-CN"/>
        </w:rPr>
        <w:t>协助相关部门做好实验室建设工作。</w:t>
      </w:r>
    </w:p>
    <w:p>
      <w:pPr>
        <w:spacing w:line="600" w:lineRule="exact"/>
        <w:ind w:firstLine="640" w:firstLineChars="200"/>
        <w:rPr>
          <w:rFonts w:ascii="黑体" w:hAnsi="黑体" w:eastAsia="黑体" w:cs="黑体"/>
          <w:bCs/>
          <w:sz w:val="32"/>
          <w:szCs w:val="32"/>
        </w:rPr>
      </w:pPr>
      <w:r>
        <w:rPr>
          <w:rFonts w:hint="eastAsia" w:ascii="黑体" w:hAnsi="黑体" w:eastAsia="黑体" w:cs="黑体"/>
          <w:bCs/>
          <w:sz w:val="32"/>
          <w:szCs w:val="32"/>
        </w:rPr>
        <w:t>四、副校长付宏讲话</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right="0" w:firstLine="640" w:firstLineChars="200"/>
        <w:jc w:val="left"/>
        <w:rPr>
          <w:rFonts w:hint="eastAsia" w:ascii="仿宋" w:hAnsi="仿宋" w:eastAsia="仿宋"/>
          <w:sz w:val="32"/>
          <w:szCs w:val="32"/>
          <w:lang w:eastAsia="zh-CN"/>
        </w:rPr>
      </w:pPr>
      <w:r>
        <w:rPr>
          <w:rFonts w:hint="eastAsia" w:ascii="仿宋" w:hAnsi="仿宋" w:eastAsia="仿宋"/>
          <w:sz w:val="32"/>
          <w:szCs w:val="32"/>
        </w:rPr>
        <w:t>副校长付宏指出，</w:t>
      </w:r>
      <w:r>
        <w:rPr>
          <w:rFonts w:hint="eastAsia" w:ascii="仿宋" w:hAnsi="仿宋" w:eastAsia="仿宋"/>
          <w:sz w:val="32"/>
          <w:szCs w:val="32"/>
          <w:lang w:eastAsia="zh-CN"/>
        </w:rPr>
        <w:t>根据</w:t>
      </w:r>
      <w:r>
        <w:rPr>
          <w:rFonts w:hint="eastAsia" w:ascii="仿宋" w:hAnsi="仿宋" w:eastAsia="仿宋"/>
          <w:sz w:val="32"/>
          <w:szCs w:val="32"/>
          <w:lang w:val="en-US" w:eastAsia="zh-CN"/>
        </w:rPr>
        <w:t>当前疫情</w:t>
      </w:r>
      <w:r>
        <w:rPr>
          <w:rFonts w:hint="eastAsia" w:ascii="仿宋" w:hAnsi="仿宋" w:eastAsia="仿宋"/>
          <w:sz w:val="32"/>
          <w:szCs w:val="32"/>
          <w:lang w:val="en-US" w:eastAsia="zh-CN"/>
        </w:rPr>
        <w:t>防控形势，</w:t>
      </w:r>
      <w:r>
        <w:rPr>
          <w:rFonts w:hint="eastAsia" w:ascii="仿宋" w:hAnsi="仿宋" w:eastAsia="仿宋"/>
          <w:sz w:val="32"/>
          <w:szCs w:val="32"/>
        </w:rPr>
        <w:t>学校</w:t>
      </w:r>
      <w:r>
        <w:rPr>
          <w:rFonts w:hint="eastAsia" w:ascii="仿宋" w:hAnsi="仿宋" w:eastAsia="仿宋"/>
          <w:sz w:val="32"/>
          <w:szCs w:val="32"/>
          <w:lang w:eastAsia="zh-CN"/>
        </w:rPr>
        <w:t>已</w:t>
      </w:r>
      <w:r>
        <w:rPr>
          <w:rFonts w:hint="eastAsia" w:ascii="仿宋" w:hAnsi="仿宋" w:eastAsia="仿宋"/>
          <w:sz w:val="32"/>
          <w:szCs w:val="32"/>
        </w:rPr>
        <w:t>启动联防联控与应急响应机制，</w:t>
      </w:r>
      <w:r>
        <w:rPr>
          <w:rFonts w:hint="eastAsia" w:ascii="仿宋" w:hAnsi="仿宋" w:eastAsia="仿宋"/>
          <w:sz w:val="32"/>
          <w:szCs w:val="32"/>
          <w:lang w:eastAsia="zh-CN"/>
        </w:rPr>
        <w:t>积极</w:t>
      </w:r>
      <w:r>
        <w:rPr>
          <w:rFonts w:hint="eastAsia" w:ascii="仿宋" w:hAnsi="仿宋" w:eastAsia="仿宋"/>
          <w:sz w:val="32"/>
          <w:szCs w:val="32"/>
        </w:rPr>
        <w:t>开展流行病学调查、相关人员排查、采样检测和隔离管控，落实相关场所及环境消杀等防疫措施。</w:t>
      </w:r>
      <w:r>
        <w:rPr>
          <w:rFonts w:hint="eastAsia" w:ascii="仿宋" w:hAnsi="仿宋" w:eastAsia="仿宋"/>
          <w:sz w:val="32"/>
          <w:szCs w:val="32"/>
          <w:lang w:eastAsia="zh-CN"/>
        </w:rPr>
        <w:t>各学院要积极遵守学校疫情防控各项规定</w:t>
      </w:r>
      <w:r>
        <w:rPr>
          <w:rFonts w:hint="eastAsia" w:ascii="仿宋" w:hAnsi="仿宋" w:eastAsia="仿宋"/>
          <w:sz w:val="32"/>
          <w:szCs w:val="32"/>
          <w:lang w:eastAsia="zh-CN"/>
        </w:rPr>
        <w:t>，加强统筹安排，做好线上教学各项准备工作，保证教学质量和效果。</w:t>
      </w:r>
    </w:p>
    <w:p>
      <w:pPr>
        <w:pStyle w:val="5"/>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10" w:leftChars="0" w:right="0" w:firstLine="640" w:firstLineChars="0"/>
        <w:jc w:val="left"/>
        <w:rPr>
          <w:rFonts w:hint="eastAsia" w:ascii="仿宋" w:hAnsi="仿宋" w:eastAsia="仿宋"/>
          <w:sz w:val="32"/>
          <w:szCs w:val="32"/>
          <w:lang w:eastAsia="zh-CN"/>
        </w:rPr>
      </w:pPr>
      <w:r>
        <w:rPr>
          <w:rFonts w:hint="eastAsia" w:ascii="仿宋" w:hAnsi="仿宋" w:eastAsia="仿宋"/>
          <w:sz w:val="32"/>
          <w:szCs w:val="32"/>
          <w:lang w:eastAsia="zh-CN"/>
        </w:rPr>
        <w:t>集中精力，提高站位，以对学生高度负责的态度投入到工作当中。线上教学具有特殊性，各学院要强化教师意识，保证线上</w:t>
      </w:r>
      <w:bookmarkStart w:id="0" w:name="_GoBack"/>
      <w:bookmarkEnd w:id="0"/>
      <w:r>
        <w:rPr>
          <w:rFonts w:hint="eastAsia" w:ascii="仿宋" w:hAnsi="仿宋" w:eastAsia="仿宋"/>
          <w:sz w:val="32"/>
          <w:szCs w:val="32"/>
          <w:lang w:eastAsia="zh-CN"/>
        </w:rPr>
        <w:t>线下教学同质等效。</w:t>
      </w:r>
    </w:p>
    <w:p>
      <w:pPr>
        <w:pStyle w:val="5"/>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10" w:leftChars="0" w:right="0" w:firstLine="640" w:firstLineChars="0"/>
        <w:jc w:val="left"/>
        <w:rPr>
          <w:rFonts w:hint="eastAsia" w:ascii="仿宋" w:hAnsi="仿宋" w:eastAsia="仿宋"/>
          <w:sz w:val="32"/>
          <w:szCs w:val="32"/>
          <w:lang w:val="en-US" w:eastAsia="zh-CN"/>
        </w:rPr>
      </w:pPr>
      <w:r>
        <w:rPr>
          <w:rFonts w:hint="eastAsia" w:ascii="仿宋" w:hAnsi="仿宋" w:eastAsia="仿宋"/>
          <w:sz w:val="32"/>
          <w:szCs w:val="32"/>
          <w:lang w:val="en-US" w:eastAsia="zh-CN"/>
        </w:rPr>
        <w:t>全力保障，精准施策，确保特殊情况下的教学活动。在</w:t>
      </w:r>
      <w:r>
        <w:rPr>
          <w:rFonts w:hint="eastAsia" w:ascii="仿宋" w:hAnsi="仿宋" w:eastAsia="仿宋"/>
          <w:sz w:val="32"/>
          <w:szCs w:val="32"/>
          <w:lang w:eastAsia="zh-CN"/>
        </w:rPr>
        <w:t>遵守学校疫情防控各项规定的基础上，各学院的核心任务是全力保障教学活动开展，创造条件让学生上好课，学好习。</w:t>
      </w:r>
    </w:p>
    <w:p>
      <w:pPr>
        <w:pStyle w:val="5"/>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10" w:leftChars="0" w:right="0" w:firstLine="640" w:firstLineChars="0"/>
        <w:jc w:val="left"/>
        <w:rPr>
          <w:rFonts w:hint="eastAsia" w:ascii="仿宋" w:hAnsi="仿宋" w:eastAsia="仿宋"/>
          <w:sz w:val="32"/>
          <w:szCs w:val="32"/>
          <w:lang w:val="en-US" w:eastAsia="zh-CN"/>
        </w:rPr>
      </w:pPr>
      <w:r>
        <w:rPr>
          <w:rFonts w:hint="eastAsia" w:ascii="仿宋" w:hAnsi="仿宋" w:eastAsia="仿宋"/>
          <w:sz w:val="32"/>
          <w:szCs w:val="32"/>
          <w:lang w:eastAsia="zh-CN"/>
        </w:rPr>
        <w:t>加强监督，履职尽责，做好过程管理和经验总结。各教学单位要加强和学工处的紧密配合，及时反馈；本次工作中要善于总结经验，吸取教训，为后续疫情防控常态化下的突发情况做足准备。</w:t>
      </w:r>
    </w:p>
    <w:p>
      <w:pPr>
        <w:pStyle w:val="5"/>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10" w:leftChars="0" w:right="0" w:firstLine="640" w:firstLineChars="0"/>
        <w:jc w:val="left"/>
        <w:rPr>
          <w:rFonts w:hint="eastAsia" w:ascii="仿宋" w:hAnsi="仿宋" w:eastAsia="仿宋"/>
          <w:sz w:val="32"/>
          <w:szCs w:val="32"/>
          <w:lang w:val="en-US" w:eastAsia="zh-CN"/>
        </w:rPr>
      </w:pPr>
      <w:r>
        <w:rPr>
          <w:rFonts w:hint="eastAsia" w:ascii="仿宋" w:hAnsi="仿宋" w:eastAsia="仿宋"/>
          <w:sz w:val="32"/>
          <w:szCs w:val="32"/>
          <w:lang w:eastAsia="zh-CN"/>
        </w:rPr>
        <w:t>压实责任，激励与约束并存。在特殊情况下，各学院要加强管理，一方面要善于发现教学工作完成情况优秀的老师，将激励落实到评奖评优中；另一方面，对于学生反馈情况不良的教师，教务处要及时通报批评。各教学队伍和教学管理队伍要“把事抓实，把打法明确，把原则搞清”，稳住教学基本面，将各项工作布置妥当，顺利完成特殊时期的工作任务。</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rPr>
          <w:rFonts w:hint="eastAsia" w:ascii="仿宋" w:hAnsi="仿宋" w:eastAsia="仿宋"/>
          <w:sz w:val="32"/>
          <w:szCs w:val="32"/>
        </w:rPr>
      </w:pPr>
    </w:p>
    <w:p>
      <w:pPr>
        <w:ind w:firstLine="640" w:firstLineChars="200"/>
        <w:rPr>
          <w:rFonts w:ascii="仿宋" w:hAnsi="仿宋" w:eastAsia="仿宋"/>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Arial">
    <w:panose1 w:val="020B0604020202020204"/>
    <w:charset w:val="00"/>
    <w:family w:val="auto"/>
    <w:pitch w:val="default"/>
    <w:sig w:usb0="E0002AFF" w:usb1="C0007843" w:usb2="00000009" w:usb3="00000000" w:csb0="400001FF" w:csb1="FFFF0000"/>
  </w:font>
  <w:font w:name="微软雅黑">
    <w:panose1 w:val="020B0503020204020204"/>
    <w:charset w:val="86"/>
    <w:family w:val="auto"/>
    <w:pitch w:val="default"/>
    <w:sig w:usb0="80000287" w:usb1="280F3C52"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6DB6454"/>
    <w:multiLevelType w:val="singleLevel"/>
    <w:tmpl w:val="D6DB6454"/>
    <w:lvl w:ilvl="0" w:tentative="0">
      <w:start w:val="1"/>
      <w:numFmt w:val="chineseCounting"/>
      <w:suff w:val="nothing"/>
      <w:lvlText w:val="%1、"/>
      <w:lvlJc w:val="left"/>
      <w:rPr>
        <w:rFonts w:hint="eastAsia"/>
      </w:rPr>
    </w:lvl>
  </w:abstractNum>
  <w:abstractNum w:abstractNumId="1">
    <w:nsid w:val="00B3AEA5"/>
    <w:multiLevelType w:val="singleLevel"/>
    <w:tmpl w:val="00B3AEA5"/>
    <w:lvl w:ilvl="0" w:tentative="0">
      <w:start w:val="1"/>
      <w:numFmt w:val="chineseCounting"/>
      <w:suff w:val="nothing"/>
      <w:lvlText w:val="第%1，"/>
      <w:lvlJc w:val="left"/>
      <w:pPr>
        <w:ind w:left="-10"/>
      </w:pPr>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3833ABC"/>
    <w:rsid w:val="007A3BBC"/>
    <w:rsid w:val="007E0C05"/>
    <w:rsid w:val="00930024"/>
    <w:rsid w:val="037800D1"/>
    <w:rsid w:val="03833ABC"/>
    <w:rsid w:val="0C7B02EA"/>
    <w:rsid w:val="0DD26630"/>
    <w:rsid w:val="137F1B6C"/>
    <w:rsid w:val="16172843"/>
    <w:rsid w:val="1BB80B48"/>
    <w:rsid w:val="1DC6338F"/>
    <w:rsid w:val="21647511"/>
    <w:rsid w:val="2C355C0F"/>
    <w:rsid w:val="2CDD5520"/>
    <w:rsid w:val="3B8D6AEC"/>
    <w:rsid w:val="3CAC2AE4"/>
    <w:rsid w:val="3CB2662C"/>
    <w:rsid w:val="449024EF"/>
    <w:rsid w:val="49F65E5D"/>
    <w:rsid w:val="4A993A56"/>
    <w:rsid w:val="50DE5B9E"/>
    <w:rsid w:val="531D1674"/>
    <w:rsid w:val="5BC16969"/>
    <w:rsid w:val="5D9C0ADA"/>
    <w:rsid w:val="5E3C00D9"/>
    <w:rsid w:val="64416899"/>
    <w:rsid w:val="6536470C"/>
    <w:rsid w:val="6A763BAE"/>
    <w:rsid w:val="6F936ED7"/>
    <w:rsid w:val="713A1FA2"/>
    <w:rsid w:val="72EF6C07"/>
    <w:rsid w:val="748B580E"/>
    <w:rsid w:val="7800292F"/>
    <w:rsid w:val="7A862E0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100" w:beforeLines="100" w:after="100" w:afterLines="100" w:line="300" w:lineRule="auto"/>
      <w:outlineLvl w:val="0"/>
    </w:pPr>
    <w:rPr>
      <w:rFonts w:eastAsia="黑体"/>
      <w:b/>
      <w:kern w:val="44"/>
      <w:sz w:val="32"/>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5">
    <w:name w:val="Normal (Web)"/>
    <w:basedOn w:val="1"/>
    <w:uiPriority w:val="0"/>
    <w:pPr>
      <w:spacing w:before="0" w:beforeAutospacing="1" w:after="0" w:afterAutospacing="1"/>
      <w:ind w:left="0" w:right="0"/>
      <w:jc w:val="left"/>
    </w:pPr>
    <w:rPr>
      <w:kern w:val="0"/>
      <w:sz w:val="24"/>
      <w:lang w:val="en-US" w:eastAsia="zh-CN" w:bidi="ar"/>
    </w:rPr>
  </w:style>
  <w:style w:type="character" w:styleId="8">
    <w:name w:val="Strong"/>
    <w:basedOn w:val="7"/>
    <w:qFormat/>
    <w:uiPriority w:val="0"/>
    <w:rPr>
      <w:b/>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Farmer</Company>
  <Pages>5</Pages>
  <Words>336</Words>
  <Characters>1920</Characters>
  <Lines>16</Lines>
  <Paragraphs>4</Paragraphs>
  <TotalTime>46</TotalTime>
  <ScaleCrop>false</ScaleCrop>
  <LinksUpToDate>false</LinksUpToDate>
  <CharactersWithSpaces>2252</CharactersWithSpaces>
  <Application>WPS Office_11.1.0.11365_F1E327BC-269C-435d-A152-05C5408002CA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2021-04-22T06:11:00Z</dcterms:created>
  <dc:creator>蔚徕</dc:creator>
  <cp:lastModifiedBy>闻温温</cp:lastModifiedBy>
  <cp:lastPrinted>2022-02-23T02:52:09Z</cp:lastPrinted>
  <dcterms:modified xsi:type="dcterms:W3CDTF">2022-02-23T03:33:27Z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D02BBAE44FF0446DB2481E96D7843E57</vt:lpwstr>
  </property>
</Properties>
</file>