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D2B01">
      <w:pPr>
        <w:widowControl/>
        <w:shd w:val="clear" w:color="auto" w:fill="FFFFFF"/>
        <w:spacing w:before="100" w:beforeAutospacing="1" w:after="100" w:afterAutospacing="1" w:line="560" w:lineRule="exact"/>
        <w:jc w:val="center"/>
        <w:outlineLvl w:val="0"/>
        <w:rPr>
          <w:rFonts w:hint="eastAsia" w:ascii="方正小标宋简体" w:hAnsi="方正小标宋简体" w:eastAsia="方正小标宋简体" w:cs="方正小标宋简体"/>
          <w:color w:val="auto"/>
          <w:kern w:val="36"/>
          <w:sz w:val="36"/>
          <w:szCs w:val="36"/>
        </w:rPr>
      </w:pPr>
      <w:r>
        <w:rPr>
          <w:rFonts w:hint="eastAsia" w:ascii="方正小标宋简体" w:hAnsi="方正小标宋简体" w:eastAsia="方正小标宋简体" w:cs="方正小标宋简体"/>
          <w:color w:val="auto"/>
          <w:kern w:val="36"/>
          <w:sz w:val="36"/>
          <w:szCs w:val="36"/>
        </w:rPr>
        <w:t>2025级经济大数据分析实验班遴选工作方案</w:t>
      </w:r>
    </w:p>
    <w:p w14:paraId="018A6D3B">
      <w:pPr>
        <w:pStyle w:val="8"/>
        <w:widowControl/>
        <w:spacing w:beforeAutospacing="0" w:afterAutospacing="0"/>
        <w:ind w:firstLine="560" w:firstLineChars="20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为响应学校“新财经”改革战略，重构“新财经”人才培养模式，满足社会对数智化经济决策分析人才的需求，经学校批准，统计与数学学院开设统计学（经济大数据分析实验班</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以下简称“实验班”</w:t>
      </w:r>
      <w:r>
        <w:rPr>
          <w:rFonts w:hint="eastAsia" w:ascii="仿宋" w:hAnsi="仿宋" w:eastAsia="仿宋" w:cs="仿宋"/>
          <w:color w:val="auto"/>
          <w:kern w:val="2"/>
          <w:sz w:val="28"/>
          <w:szCs w:val="28"/>
        </w:rPr>
        <w:t>）。实验班依托统计学国家级一流本科专业建设点和学院优质师资</w:t>
      </w:r>
      <w:r>
        <w:rPr>
          <w:rFonts w:hint="eastAsia" w:ascii="仿宋" w:hAnsi="仿宋" w:eastAsia="仿宋" w:cs="仿宋"/>
          <w:color w:val="auto"/>
          <w:kern w:val="2"/>
          <w:sz w:val="28"/>
          <w:szCs w:val="28"/>
          <w:lang w:val="en-US" w:eastAsia="zh-CN"/>
        </w:rPr>
        <w:t>开展教学科研与人才培养</w:t>
      </w:r>
      <w:r>
        <w:rPr>
          <w:rFonts w:hint="eastAsia" w:ascii="仿宋" w:hAnsi="仿宋" w:eastAsia="仿宋" w:cs="仿宋"/>
          <w:color w:val="auto"/>
          <w:kern w:val="2"/>
          <w:sz w:val="28"/>
          <w:szCs w:val="28"/>
        </w:rPr>
        <w:t>。</w:t>
      </w:r>
      <w:r>
        <w:rPr>
          <w:rFonts w:hint="eastAsia" w:ascii="仿宋" w:hAnsi="仿宋" w:eastAsia="仿宋" w:cs="仿宋"/>
          <w:color w:val="auto"/>
          <w:kern w:val="2"/>
          <w:sz w:val="28"/>
          <w:szCs w:val="28"/>
          <w:lang w:val="en-US" w:eastAsia="zh-CN"/>
        </w:rPr>
        <w:t>我院统计学专业办学历史悠久，</w:t>
      </w:r>
      <w:r>
        <w:rPr>
          <w:rFonts w:hint="eastAsia" w:ascii="仿宋" w:hAnsi="仿宋" w:eastAsia="仿宋" w:cs="仿宋"/>
          <w:color w:val="auto"/>
          <w:kern w:val="2"/>
          <w:sz w:val="28"/>
          <w:szCs w:val="28"/>
        </w:rPr>
        <w:t>最早可以追溯到1946年统计专业商科高中班，1952年开设统计学中专教育，2002年开办统计学本科教育。</w:t>
      </w:r>
      <w:r>
        <w:rPr>
          <w:rFonts w:hint="eastAsia" w:ascii="仿宋" w:hAnsi="仿宋" w:eastAsia="仿宋" w:cs="仿宋"/>
          <w:color w:val="auto"/>
          <w:kern w:val="2"/>
          <w:sz w:val="28"/>
          <w:szCs w:val="28"/>
          <w:lang w:val="en-US" w:eastAsia="zh-CN"/>
        </w:rPr>
        <w:t>统计学专业师资力量雄厚，</w:t>
      </w:r>
      <w:r>
        <w:rPr>
          <w:rFonts w:hint="eastAsia" w:ascii="仿宋" w:hAnsi="仿宋" w:eastAsia="仿宋" w:cs="仿宋"/>
          <w:color w:val="auto"/>
          <w:kern w:val="2"/>
          <w:sz w:val="28"/>
          <w:szCs w:val="28"/>
        </w:rPr>
        <w:t>现有专任教师16人，其中教授4人，副教授11人，</w:t>
      </w:r>
      <w:r>
        <w:rPr>
          <w:rFonts w:hint="eastAsia" w:ascii="仿宋" w:hAnsi="仿宋" w:eastAsia="仿宋" w:cs="仿宋"/>
          <w:b w:val="0"/>
          <w:bCs/>
          <w:color w:val="auto"/>
          <w:kern w:val="2"/>
          <w:sz w:val="28"/>
          <w:szCs w:val="28"/>
        </w:rPr>
        <w:t>特</w:t>
      </w:r>
      <w:r>
        <w:rPr>
          <w:rFonts w:hint="eastAsia" w:ascii="仿宋" w:hAnsi="仿宋" w:eastAsia="仿宋" w:cs="仿宋"/>
          <w:color w:val="auto"/>
          <w:kern w:val="2"/>
          <w:sz w:val="28"/>
          <w:szCs w:val="28"/>
        </w:rPr>
        <w:t>聘教授3人，讲座教授1人。专任教师中，具有博士学位14人，校级教学名师2人、杰出教师2人</w:t>
      </w:r>
      <w:r>
        <w:rPr>
          <w:rFonts w:hint="eastAsia" w:ascii="仿宋" w:hAnsi="仿宋" w:eastAsia="仿宋" w:cs="仿宋"/>
          <w:color w:val="auto"/>
          <w:kern w:val="2"/>
          <w:sz w:val="28"/>
          <w:szCs w:val="28"/>
          <w:lang w:eastAsia="zh-CN"/>
        </w:rPr>
        <w:t>、</w:t>
      </w:r>
      <w:r>
        <w:rPr>
          <w:rFonts w:hint="eastAsia" w:ascii="仿宋" w:hAnsi="仿宋" w:eastAsia="仿宋" w:cs="仿宋"/>
          <w:color w:val="auto"/>
          <w:kern w:val="2"/>
          <w:sz w:val="28"/>
          <w:szCs w:val="28"/>
          <w:lang w:val="en-US" w:eastAsia="zh-CN"/>
        </w:rPr>
        <w:t>腾龙学者1人</w:t>
      </w:r>
      <w:r>
        <w:rPr>
          <w:rFonts w:hint="eastAsia" w:ascii="仿宋" w:hAnsi="仿宋" w:eastAsia="仿宋" w:cs="仿宋"/>
          <w:color w:val="auto"/>
          <w:kern w:val="2"/>
          <w:sz w:val="28"/>
          <w:szCs w:val="28"/>
        </w:rPr>
        <w:t>。</w:t>
      </w:r>
      <w:r>
        <w:rPr>
          <w:rFonts w:hint="eastAsia" w:ascii="仿宋" w:hAnsi="仿宋" w:eastAsia="仿宋" w:cs="仿宋"/>
          <w:color w:val="auto"/>
          <w:kern w:val="2"/>
          <w:sz w:val="28"/>
          <w:szCs w:val="28"/>
          <w:lang w:val="en-US" w:eastAsia="zh-CN"/>
        </w:rPr>
        <w:t>统计学</w:t>
      </w:r>
      <w:r>
        <w:rPr>
          <w:rFonts w:hint="eastAsia" w:ascii="仿宋" w:hAnsi="仿宋" w:eastAsia="仿宋" w:cs="仿宋"/>
          <w:color w:val="auto"/>
          <w:kern w:val="2"/>
          <w:sz w:val="28"/>
          <w:szCs w:val="28"/>
        </w:rPr>
        <w:t>专业建设成果丰硕，2012年统计学获批湖北省级重点(培育)学科，</w:t>
      </w:r>
      <w:r>
        <w:rPr>
          <w:rFonts w:hint="eastAsia" w:ascii="仿宋" w:hAnsi="仿宋" w:eastAsia="仿宋" w:cs="仿宋"/>
          <w:b w:val="0"/>
          <w:bCs w:val="0"/>
          <w:color w:val="auto"/>
          <w:kern w:val="2"/>
          <w:sz w:val="28"/>
          <w:szCs w:val="28"/>
        </w:rPr>
        <w:t>2014年开展应用统计专业硕士培养工作，2019年统计学专业获批湖北省一流本科专业，2020年统计系获评湖北省优秀基层教学组织，20</w:t>
      </w:r>
      <w:r>
        <w:rPr>
          <w:rFonts w:hint="eastAsia" w:ascii="仿宋" w:hAnsi="仿宋" w:eastAsia="仿宋" w:cs="仿宋"/>
          <w:color w:val="auto"/>
          <w:kern w:val="2"/>
          <w:sz w:val="28"/>
          <w:szCs w:val="28"/>
        </w:rPr>
        <w:t>21年统计学入选国家级一流本科专业建设点，2024年获批应用统计专硕点。</w:t>
      </w:r>
    </w:p>
    <w:p w14:paraId="4DE7978A">
      <w:pPr>
        <w:pStyle w:val="8"/>
        <w:widowControl/>
        <w:spacing w:beforeAutospacing="0" w:afterAutospacing="0"/>
        <w:ind w:firstLine="560" w:firstLineChars="20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实验班基于数字经济时代对复合型经济数据分析人才需求的前瞻布局，依托湖北经济学院统计与数学学院深厚的学科积淀与产教融合优势创新设立。实验班的建设</w:t>
      </w:r>
      <w:r>
        <w:rPr>
          <w:rFonts w:ascii="仿宋" w:hAnsi="仿宋" w:eastAsia="仿宋" w:cs="仿宋"/>
          <w:b/>
          <w:bCs/>
          <w:color w:val="auto"/>
          <w:kern w:val="2"/>
          <w:sz w:val="28"/>
          <w:szCs w:val="28"/>
        </w:rPr>
        <w:t>以</w:t>
      </w:r>
      <w:r>
        <w:rPr>
          <w:rFonts w:hint="eastAsia" w:ascii="仿宋" w:hAnsi="仿宋" w:eastAsia="仿宋" w:cs="仿宋"/>
          <w:b/>
          <w:bCs/>
          <w:color w:val="auto"/>
          <w:kern w:val="2"/>
          <w:sz w:val="28"/>
          <w:szCs w:val="28"/>
        </w:rPr>
        <w:t>“智慧+”项目组和</w:t>
      </w:r>
      <w:r>
        <w:rPr>
          <w:rFonts w:ascii="仿宋" w:hAnsi="仿宋" w:eastAsia="仿宋" w:cs="仿宋"/>
          <w:b/>
          <w:bCs/>
          <w:color w:val="auto"/>
          <w:kern w:val="2"/>
          <w:sz w:val="28"/>
          <w:szCs w:val="28"/>
        </w:rPr>
        <w:t>联合实验室为平台、以全生命周期导师制为抓手，</w:t>
      </w:r>
      <w:r>
        <w:rPr>
          <w:rFonts w:ascii="仿宋" w:hAnsi="仿宋" w:eastAsia="仿宋" w:cs="仿宋"/>
          <w:color w:val="auto"/>
          <w:kern w:val="2"/>
          <w:sz w:val="28"/>
          <w:szCs w:val="28"/>
        </w:rPr>
        <w:t>培养具有扎实</w:t>
      </w:r>
      <w:r>
        <w:rPr>
          <w:rFonts w:hint="eastAsia" w:ascii="仿宋" w:hAnsi="仿宋" w:eastAsia="仿宋" w:cs="仿宋"/>
          <w:color w:val="auto"/>
          <w:kern w:val="2"/>
          <w:sz w:val="28"/>
          <w:szCs w:val="28"/>
        </w:rPr>
        <w:t>数学、统计学基础</w:t>
      </w:r>
      <w:r>
        <w:rPr>
          <w:rFonts w:ascii="仿宋" w:hAnsi="仿宋" w:eastAsia="仿宋" w:cs="仿宋"/>
          <w:color w:val="auto"/>
          <w:kern w:val="2"/>
          <w:sz w:val="28"/>
          <w:szCs w:val="28"/>
        </w:rPr>
        <w:t>和大数据分析</w:t>
      </w:r>
      <w:r>
        <w:rPr>
          <w:rFonts w:hint="eastAsia" w:ascii="仿宋" w:hAnsi="仿宋" w:eastAsia="仿宋" w:cs="仿宋"/>
          <w:color w:val="auto"/>
          <w:kern w:val="2"/>
          <w:sz w:val="28"/>
          <w:szCs w:val="28"/>
        </w:rPr>
        <w:t>技术</w:t>
      </w:r>
      <w:r>
        <w:rPr>
          <w:rFonts w:ascii="仿宋" w:hAnsi="仿宋" w:eastAsia="仿宋" w:cs="仿宋"/>
          <w:color w:val="auto"/>
          <w:kern w:val="2"/>
          <w:sz w:val="28"/>
          <w:szCs w:val="28"/>
        </w:rPr>
        <w:t>的思想敏锐、专业素质高、实践能力强、具有开拓精神和创新能力的</w:t>
      </w:r>
      <w:r>
        <w:rPr>
          <w:rFonts w:hint="eastAsia" w:ascii="仿宋" w:hAnsi="仿宋" w:eastAsia="仿宋" w:cs="仿宋"/>
          <w:color w:val="auto"/>
          <w:kern w:val="2"/>
          <w:sz w:val="28"/>
          <w:szCs w:val="28"/>
        </w:rPr>
        <w:t>优秀人才</w:t>
      </w:r>
      <w:r>
        <w:rPr>
          <w:rFonts w:ascii="仿宋" w:hAnsi="仿宋" w:eastAsia="仿宋" w:cs="仿宋"/>
          <w:color w:val="auto"/>
          <w:kern w:val="2"/>
          <w:sz w:val="28"/>
          <w:szCs w:val="28"/>
        </w:rPr>
        <w:t>。</w:t>
      </w:r>
    </w:p>
    <w:p w14:paraId="23E9C968">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实验班拟打造成统计与数学学院本科人才培养模式的引领和示范，举办实验班是学院探索培养“财经+大数据”人才的重要途径。实验班以培养拔尖创新人才为目标，坚持“小规模、精英化、重基础、求创新、有特色”的培养原则，充分发挥学院在办学中的主体作用，行业和企业在人才培养中的协同作用，整合利用多学科互补的优质教学资源和社会优质教育资源，采用多元化的培养模式、灵活化的管理方式、个性化的培养方案和动态化的淘汰机制，探索拔尖创新型、“专业+”复合型等各类一流本科人才培养。</w:t>
      </w:r>
    </w:p>
    <w:p w14:paraId="59CC4DB2">
      <w:pPr>
        <w:spacing w:line="20" w:lineRule="atLeas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一、领导小组</w:t>
      </w:r>
    </w:p>
    <w:p w14:paraId="4FCE9AD1">
      <w:pPr>
        <w:pStyle w:val="8"/>
        <w:widowControl/>
        <w:spacing w:beforeAutospacing="0" w:afterAutospacing="0" w:line="20" w:lineRule="atLeast"/>
        <w:ind w:firstLine="560" w:firstLineChars="20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学院成立2025级统计学（经济大数据分析实验班）学生遴选领导小组，全面负责招生宣传、选拔录取、班级组建等工作。</w:t>
      </w:r>
    </w:p>
    <w:p w14:paraId="49674010">
      <w:pPr>
        <w:pStyle w:val="8"/>
        <w:widowControl/>
        <w:spacing w:beforeAutospacing="0" w:afterAutospacing="0" w:line="20" w:lineRule="atLeast"/>
        <w:ind w:left="559" w:leftChars="266" w:firstLine="0" w:firstLineChars="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组长：王华、张志刚</w:t>
      </w:r>
      <w:r>
        <w:rPr>
          <w:rFonts w:hint="eastAsia" w:ascii="仿宋" w:hAnsi="仿宋" w:eastAsia="仿宋" w:cs="仿宋"/>
          <w:color w:val="auto"/>
          <w:kern w:val="2"/>
          <w:sz w:val="28"/>
          <w:szCs w:val="28"/>
        </w:rPr>
        <w:br w:type="textWrapping"/>
      </w:r>
      <w:r>
        <w:rPr>
          <w:rFonts w:hint="eastAsia" w:ascii="仿宋" w:hAnsi="仿宋" w:eastAsia="仿宋" w:cs="仿宋"/>
          <w:color w:val="auto"/>
          <w:kern w:val="2"/>
          <w:sz w:val="28"/>
          <w:szCs w:val="28"/>
        </w:rPr>
        <w:t>副组长：王玉宝、王磊、张艳伟</w:t>
      </w:r>
    </w:p>
    <w:p w14:paraId="20421409">
      <w:pPr>
        <w:pStyle w:val="8"/>
        <w:widowControl/>
        <w:spacing w:beforeAutospacing="0" w:afterAutospacing="0" w:line="20" w:lineRule="atLeast"/>
        <w:ind w:firstLine="560" w:firstLineChars="200"/>
        <w:rPr>
          <w:color w:val="auto"/>
        </w:rPr>
      </w:pPr>
      <w:r>
        <w:rPr>
          <w:rFonts w:hint="eastAsia" w:ascii="仿宋" w:hAnsi="仿宋" w:eastAsia="仿宋" w:cs="仿宋"/>
          <w:color w:val="auto"/>
          <w:kern w:val="2"/>
          <w:sz w:val="28"/>
          <w:szCs w:val="28"/>
        </w:rPr>
        <w:t>成员：夏伦、李倩、张秀、杨珂玲、曾霞、耿智琳、黄小舟、祝丹、赵琼、蔡东亦、李文君、卢米雪、孟雪井、叶提芳</w:t>
      </w:r>
    </w:p>
    <w:p w14:paraId="20D11C9A">
      <w:pPr>
        <w:spacing w:line="20" w:lineRule="atLeas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二、遴选名额</w:t>
      </w:r>
    </w:p>
    <w:p w14:paraId="68AFED15">
      <w:pPr>
        <w:pStyle w:val="8"/>
        <w:widowControl/>
        <w:spacing w:beforeAutospacing="0" w:afterAutospacing="0" w:line="20" w:lineRule="atLeast"/>
        <w:ind w:firstLine="560" w:firstLineChars="200"/>
        <w:rPr>
          <w:color w:val="auto"/>
        </w:rPr>
      </w:pPr>
      <w:r>
        <w:rPr>
          <w:rFonts w:hint="eastAsia" w:ascii="仿宋" w:hAnsi="仿宋" w:eastAsia="仿宋" w:cs="仿宋"/>
          <w:color w:val="auto"/>
          <w:kern w:val="2"/>
          <w:sz w:val="28"/>
          <w:szCs w:val="28"/>
        </w:rPr>
        <w:t>根据统计与数学学院发展规划及人才培养定位，2025级统计学（经济大数据分析实验班）计划校内遴选不超过15人。</w:t>
      </w:r>
    </w:p>
    <w:p w14:paraId="1FA73C88">
      <w:pPr>
        <w:pStyle w:val="4"/>
        <w:widowControl/>
        <w:spacing w:beforeAutospacing="0" w:afterAutospacing="0" w:line="20" w:lineRule="atLeast"/>
        <w:ind w:firstLine="562" w:firstLineChars="200"/>
        <w:rPr>
          <w:rFonts w:ascii="仿宋" w:hAnsi="仿宋" w:eastAsia="仿宋" w:cs="仿宋"/>
          <w:color w:val="auto"/>
          <w:sz w:val="28"/>
          <w:szCs w:val="28"/>
        </w:rPr>
      </w:pPr>
      <w:r>
        <w:rPr>
          <w:rFonts w:ascii="仿宋" w:hAnsi="仿宋" w:eastAsia="仿宋" w:cs="仿宋"/>
          <w:color w:val="auto"/>
          <w:kern w:val="2"/>
          <w:sz w:val="28"/>
          <w:szCs w:val="28"/>
        </w:rPr>
        <w:t>三、遴选范围及条件</w:t>
      </w:r>
    </w:p>
    <w:p w14:paraId="1F9534F2">
      <w:pPr>
        <w:spacing w:line="52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遴选范围</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面向高考为物理方向、理工方向的2025级全日制普通本科新生，除艺术类、体育类、中外合作班、高考招生录取为9个新财经实验班学生及专升本、第二学士学位学生外</w:t>
      </w:r>
      <w:r>
        <w:rPr>
          <w:rFonts w:hint="eastAsia" w:ascii="仿宋" w:hAnsi="仿宋" w:eastAsia="仿宋" w:cs="仿宋"/>
          <w:color w:val="000000" w:themeColor="text1"/>
          <w:sz w:val="28"/>
          <w:szCs w:val="28"/>
          <w:lang w:eastAsia="zh-CN"/>
          <w14:textFill>
            <w14:solidFill>
              <w14:schemeClr w14:val="tx1"/>
            </w14:solidFill>
          </w14:textFill>
        </w:rPr>
        <w:t>。</w:t>
      </w:r>
    </w:p>
    <w:p w14:paraId="5E95D795">
      <w:pPr>
        <w:spacing w:line="520" w:lineRule="exact"/>
        <w:ind w:firstLine="562" w:firstLineChars="200"/>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遴选条件:</w:t>
      </w:r>
      <w:r>
        <w:rPr>
          <w:rFonts w:hint="eastAsia" w:ascii="仿宋" w:hAnsi="仿宋" w:eastAsia="仿宋" w:cs="仿宋"/>
          <w:color w:val="000000" w:themeColor="text1"/>
          <w:sz w:val="28"/>
          <w:szCs w:val="28"/>
          <w:lang w:val="en-US" w:eastAsia="zh-CN"/>
          <w14:textFill>
            <w14:solidFill>
              <w14:schemeClr w14:val="tx1"/>
            </w14:solidFill>
          </w14:textFill>
        </w:rPr>
        <w:t>生源地为新高考改革省份，高考分数不低于本科特殊控制线；生源地为老高考省份，高考分数不低于本科一本线（均为高考原始分）；</w:t>
      </w:r>
    </w:p>
    <w:p w14:paraId="0A10E011">
      <w:pPr>
        <w:spacing w:line="520" w:lineRule="exact"/>
        <w:ind w:firstLine="562" w:firstLineChars="200"/>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且须至少满足以下条件之一：</w:t>
      </w:r>
    </w:p>
    <w:p w14:paraId="3F9380C0">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1.高考数学≥105分;</w:t>
      </w:r>
    </w:p>
    <w:p w14:paraId="619F7C78">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2.高考数学+英语≥225分；</w:t>
      </w:r>
    </w:p>
    <w:p w14:paraId="634F2FD9">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3.获省级及以上荣誉称号；</w:t>
      </w:r>
    </w:p>
    <w:p w14:paraId="1C5AC41F">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4.具有较强的数据分析和处理能力(如</w:t>
      </w:r>
      <w:r>
        <w:rPr>
          <w:rFonts w:hint="eastAsia" w:ascii="仿宋" w:hAnsi="仿宋" w:eastAsia="仿宋" w:cs="仿宋"/>
          <w:color w:val="000000" w:themeColor="text1"/>
          <w:sz w:val="28"/>
          <w:szCs w:val="28"/>
          <w:lang w:val="en-US" w:eastAsia="zh-CN"/>
          <w14:textFill>
            <w14:solidFill>
              <w14:schemeClr w14:val="tx1"/>
            </w14:solidFill>
          </w14:textFill>
        </w:rPr>
        <w:t>熟练</w:t>
      </w:r>
      <w:r>
        <w:rPr>
          <w:rFonts w:hint="eastAsia" w:ascii="仿宋" w:hAnsi="仿宋" w:eastAsia="仿宋" w:cs="仿宋"/>
          <w:color w:val="000000" w:themeColor="text1"/>
          <w:sz w:val="28"/>
          <w:szCs w:val="28"/>
          <w14:textFill>
            <w14:solidFill>
              <w14:schemeClr w14:val="tx1"/>
            </w14:solidFill>
          </w14:textFill>
        </w:rPr>
        <w:t>运用P</w:t>
      </w:r>
      <w:r>
        <w:rPr>
          <w:rFonts w:hint="eastAsia" w:ascii="仿宋" w:hAnsi="仿宋" w:eastAsia="仿宋" w:cs="仿宋"/>
          <w:color w:val="000000" w:themeColor="text1"/>
          <w:sz w:val="28"/>
          <w:szCs w:val="28"/>
          <w:lang w:val="en-US" w:eastAsia="zh-CN"/>
          <w14:textFill>
            <w14:solidFill>
              <w14:schemeClr w14:val="tx1"/>
            </w14:solidFill>
          </w14:textFill>
        </w:rPr>
        <w:t>ython</w:t>
      </w:r>
      <w:r>
        <w:rPr>
          <w:rFonts w:hint="eastAsia" w:ascii="仿宋" w:hAnsi="仿宋" w:eastAsia="仿宋" w:cs="仿宋"/>
          <w:color w:val="000000" w:themeColor="text1"/>
          <w:sz w:val="28"/>
          <w:szCs w:val="28"/>
          <w14:textFill>
            <w14:solidFill>
              <w14:schemeClr w14:val="tx1"/>
            </w14:solidFill>
          </w14:textFill>
        </w:rPr>
        <w:t>编程语言),提供完整的支撑材料（如作为项目主要负责人完成的数据分析报告、代码或研究报告）。</w:t>
      </w:r>
    </w:p>
    <w:p w14:paraId="17B4FE12">
      <w:pPr>
        <w:spacing w:line="520" w:lineRule="exact"/>
        <w:ind w:firstLine="560" w:firstLineChars="200"/>
        <w:rPr>
          <w:rFonts w:hint="eastAsia" w:ascii="仿宋" w:hAnsi="仿宋" w:eastAsia="仿宋" w:cs="仿宋"/>
          <w:color w:val="FF0000"/>
          <w:sz w:val="28"/>
          <w:szCs w:val="28"/>
        </w:rPr>
      </w:pPr>
      <w:r>
        <w:rPr>
          <w:rFonts w:hint="eastAsia" w:ascii="仿宋" w:hAnsi="仿宋" w:eastAsia="仿宋" w:cs="仿宋"/>
          <w:color w:val="000000" w:themeColor="text1"/>
          <w:sz w:val="28"/>
          <w:szCs w:val="28"/>
          <w14:textFill>
            <w14:solidFill>
              <w14:schemeClr w14:val="tx1"/>
            </w14:solidFill>
          </w14:textFill>
        </w:rPr>
        <w:t>备注：遴选进入实验班的学生，不能再次申请转专业。</w:t>
      </w:r>
    </w:p>
    <w:p w14:paraId="1AA52691">
      <w:pPr>
        <w:spacing w:line="52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四、遴选程序</w:t>
      </w:r>
    </w:p>
    <w:p w14:paraId="0F203244">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1.个人申请：符合条件的学生于2025年9月</w:t>
      </w:r>
      <w:r>
        <w:rPr>
          <w:rFonts w:ascii="仿宋" w:hAnsi="仿宋" w:eastAsia="仿宋" w:cs="仿宋"/>
          <w:color w:val="auto"/>
          <w:sz w:val="28"/>
          <w:szCs w:val="28"/>
        </w:rPr>
        <w:t>13</w:t>
      </w:r>
      <w:r>
        <w:rPr>
          <w:rFonts w:hint="eastAsia" w:ascii="仿宋" w:hAnsi="仿宋" w:eastAsia="仿宋" w:cs="仿宋"/>
          <w:color w:val="auto"/>
          <w:sz w:val="28"/>
          <w:szCs w:val="28"/>
        </w:rPr>
        <w:t>日17：00前报名。报名方式：在湖北经济学院教务处或统计与数学学院网站下载填写《湖北经济学院统计与数学学院2025级统计学（经济大数据分析实验班）报名表》（</w:t>
      </w:r>
      <w:r>
        <w:rPr>
          <w:rFonts w:ascii="仿宋" w:hAnsi="仿宋" w:eastAsia="仿宋" w:cs="仿宋"/>
          <w:color w:val="auto"/>
          <w:sz w:val="28"/>
          <w:szCs w:val="28"/>
        </w:rPr>
        <w:t>附后</w:t>
      </w:r>
      <w:r>
        <w:rPr>
          <w:rFonts w:hint="eastAsia" w:ascii="仿宋" w:hAnsi="仿宋" w:eastAsia="仿宋" w:cs="仿宋"/>
          <w:color w:val="auto"/>
          <w:sz w:val="28"/>
          <w:szCs w:val="28"/>
        </w:rPr>
        <w:t>），并将电子档以附件形式发至专用邮箱：</w:t>
      </w:r>
      <w:r>
        <w:rPr>
          <w:rFonts w:ascii="仿宋" w:hAnsi="仿宋" w:eastAsia="仿宋" w:cs="仿宋"/>
          <w:color w:val="auto"/>
          <w:sz w:val="28"/>
          <w:szCs w:val="28"/>
        </w:rPr>
        <w:t>20232008@hbue.edu.cn</w:t>
      </w:r>
      <w:r>
        <w:rPr>
          <w:rFonts w:hint="eastAsia" w:ascii="仿宋" w:hAnsi="仿宋" w:eastAsia="仿宋" w:cs="仿宋"/>
          <w:color w:val="auto"/>
          <w:sz w:val="28"/>
          <w:szCs w:val="28"/>
        </w:rPr>
        <w:t>。邮件请以“姓名+2025级统计学（经济大数据分析实验班）遴选”命名，并于2</w:t>
      </w:r>
      <w:r>
        <w:rPr>
          <w:rFonts w:ascii="仿宋" w:hAnsi="仿宋" w:eastAsia="仿宋" w:cs="仿宋"/>
          <w:color w:val="auto"/>
          <w:sz w:val="28"/>
          <w:szCs w:val="28"/>
        </w:rPr>
        <w:t>02</w:t>
      </w:r>
      <w:r>
        <w:rPr>
          <w:rFonts w:hint="eastAsia" w:ascii="仿宋" w:hAnsi="仿宋" w:eastAsia="仿宋" w:cs="仿宋"/>
          <w:color w:val="auto"/>
          <w:sz w:val="28"/>
          <w:szCs w:val="28"/>
        </w:rPr>
        <w:t>5年9月</w:t>
      </w:r>
      <w:r>
        <w:rPr>
          <w:rFonts w:ascii="仿宋" w:hAnsi="仿宋" w:eastAsia="仿宋" w:cs="仿宋"/>
          <w:color w:val="auto"/>
          <w:sz w:val="28"/>
          <w:szCs w:val="28"/>
        </w:rPr>
        <w:t>13</w:t>
      </w:r>
      <w:r>
        <w:rPr>
          <w:rFonts w:hint="eastAsia" w:ascii="仿宋" w:hAnsi="仿宋" w:eastAsia="仿宋" w:cs="仿宋"/>
          <w:color w:val="auto"/>
          <w:sz w:val="28"/>
          <w:szCs w:val="28"/>
        </w:rPr>
        <w:t>日17:00前将报名登记表及证明材料（高考成绩或证书复印件）纸质版报送统计与数学学院</w:t>
      </w:r>
      <w:r>
        <w:rPr>
          <w:rFonts w:hint="eastAsia" w:ascii="仿宋" w:hAnsi="仿宋" w:eastAsia="仿宋" w:cs="仿宋"/>
          <w:color w:val="auto"/>
          <w:sz w:val="28"/>
          <w:szCs w:val="28"/>
          <w:lang w:val="en-US" w:eastAsia="zh-CN"/>
        </w:rPr>
        <w:t>知行楼</w:t>
      </w:r>
      <w:r>
        <w:rPr>
          <w:rFonts w:ascii="仿宋" w:hAnsi="仿宋" w:eastAsia="仿宋" w:cs="仿宋"/>
          <w:color w:val="auto"/>
          <w:sz w:val="28"/>
          <w:szCs w:val="28"/>
        </w:rPr>
        <w:t>A118</w:t>
      </w:r>
      <w:r>
        <w:rPr>
          <w:rFonts w:hint="eastAsia" w:ascii="仿宋" w:hAnsi="仿宋" w:eastAsia="仿宋" w:cs="仿宋"/>
          <w:color w:val="auto"/>
          <w:sz w:val="28"/>
          <w:szCs w:val="28"/>
        </w:rPr>
        <w:t>室（知行楼A座1楼）进行现场确认。</w:t>
      </w:r>
    </w:p>
    <w:p w14:paraId="52BEE645">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2.资格审查：学院按条件进行资格审查，确定符合遴选资格要求的入围学生名单，9月1</w:t>
      </w:r>
      <w:r>
        <w:rPr>
          <w:rFonts w:ascii="仿宋" w:hAnsi="仿宋" w:eastAsia="仿宋" w:cs="仿宋"/>
          <w:color w:val="auto"/>
          <w:sz w:val="28"/>
          <w:szCs w:val="28"/>
        </w:rPr>
        <w:t>3</w:t>
      </w:r>
      <w:r>
        <w:rPr>
          <w:rFonts w:hint="eastAsia" w:ascii="仿宋" w:hAnsi="仿宋" w:eastAsia="仿宋" w:cs="仿宋"/>
          <w:color w:val="auto"/>
          <w:sz w:val="28"/>
          <w:szCs w:val="28"/>
        </w:rPr>
        <w:t>日21:00前在统计与数学学院官网公布入围学生名单。</w:t>
      </w:r>
    </w:p>
    <w:p w14:paraId="11B7CE37">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3.组织考核：入围学生需参加学院组织的考核，考核包括笔试和面试两个部分。</w:t>
      </w:r>
      <w:r>
        <w:rPr>
          <w:rFonts w:hint="eastAsia" w:cs="Times New Roman"/>
          <w:color w:val="auto"/>
          <w:sz w:val="28"/>
          <w:szCs w:val="28"/>
        </w:rPr>
        <w:t>①</w:t>
      </w:r>
      <w:r>
        <w:rPr>
          <w:rFonts w:hint="eastAsia" w:ascii="仿宋" w:hAnsi="仿宋" w:eastAsia="仿宋" w:cs="仿宋"/>
          <w:color w:val="auto"/>
          <w:sz w:val="28"/>
          <w:szCs w:val="28"/>
        </w:rPr>
        <w:t>笔试：笔试内容为综合能力测试，考察科目包括英语、数学和逻辑推理，笔试时间为9月1</w:t>
      </w:r>
      <w:r>
        <w:rPr>
          <w:rFonts w:ascii="仿宋" w:hAnsi="仿宋" w:eastAsia="仿宋" w:cs="仿宋"/>
          <w:color w:val="auto"/>
          <w:sz w:val="28"/>
          <w:szCs w:val="28"/>
        </w:rPr>
        <w:t>4</w:t>
      </w:r>
      <w:r>
        <w:rPr>
          <w:rFonts w:hint="eastAsia" w:ascii="仿宋" w:hAnsi="仿宋" w:eastAsia="仿宋" w:cs="仿宋"/>
          <w:color w:val="auto"/>
          <w:sz w:val="28"/>
          <w:szCs w:val="28"/>
        </w:rPr>
        <w:t>日</w:t>
      </w:r>
      <w:r>
        <w:rPr>
          <w:rFonts w:ascii="仿宋" w:hAnsi="仿宋" w:eastAsia="仿宋" w:cs="仿宋"/>
          <w:color w:val="auto"/>
          <w:sz w:val="28"/>
          <w:szCs w:val="28"/>
        </w:rPr>
        <w:t>8</w:t>
      </w:r>
      <w:r>
        <w:rPr>
          <w:rFonts w:hint="eastAsia" w:ascii="仿宋" w:hAnsi="仿宋" w:eastAsia="仿宋" w:cs="仿宋"/>
          <w:color w:val="auto"/>
          <w:sz w:val="28"/>
          <w:szCs w:val="28"/>
        </w:rPr>
        <w:t>:</w:t>
      </w:r>
      <w:r>
        <w:rPr>
          <w:rFonts w:ascii="仿宋" w:hAnsi="仿宋" w:eastAsia="仿宋" w:cs="仿宋"/>
          <w:color w:val="auto"/>
          <w:sz w:val="28"/>
          <w:szCs w:val="28"/>
        </w:rPr>
        <w:t>3</w:t>
      </w:r>
      <w:r>
        <w:rPr>
          <w:rFonts w:hint="eastAsia" w:ascii="仿宋" w:hAnsi="仿宋" w:eastAsia="仿宋" w:cs="仿宋"/>
          <w:color w:val="auto"/>
          <w:sz w:val="28"/>
          <w:szCs w:val="28"/>
        </w:rPr>
        <w:t>0-1</w:t>
      </w:r>
      <w:r>
        <w:rPr>
          <w:rFonts w:ascii="仿宋" w:hAnsi="仿宋" w:eastAsia="仿宋" w:cs="仿宋"/>
          <w:color w:val="auto"/>
          <w:sz w:val="28"/>
          <w:szCs w:val="28"/>
        </w:rPr>
        <w:t>1</w:t>
      </w:r>
      <w:r>
        <w:rPr>
          <w:rFonts w:hint="eastAsia" w:ascii="仿宋" w:hAnsi="仿宋" w:eastAsia="仿宋" w:cs="仿宋"/>
          <w:color w:val="auto"/>
          <w:sz w:val="28"/>
          <w:szCs w:val="28"/>
        </w:rPr>
        <w:t>:</w:t>
      </w:r>
      <w:r>
        <w:rPr>
          <w:rFonts w:ascii="仿宋" w:hAnsi="仿宋" w:eastAsia="仿宋" w:cs="仿宋"/>
          <w:color w:val="auto"/>
          <w:sz w:val="28"/>
          <w:szCs w:val="28"/>
        </w:rPr>
        <w:t>0</w:t>
      </w:r>
      <w:r>
        <w:rPr>
          <w:rFonts w:hint="eastAsia" w:ascii="仿宋" w:hAnsi="仿宋" w:eastAsia="仿宋" w:cs="仿宋"/>
          <w:color w:val="auto"/>
          <w:sz w:val="28"/>
          <w:szCs w:val="28"/>
        </w:rPr>
        <w:t>0，</w:t>
      </w:r>
      <w:r>
        <w:rPr>
          <w:rFonts w:hint="eastAsia" w:ascii="仿宋" w:hAnsi="仿宋" w:eastAsia="仿宋" w:cs="仿宋"/>
          <w:color w:val="auto"/>
          <w:sz w:val="28"/>
          <w:szCs w:val="28"/>
          <w:lang w:val="en-US" w:eastAsia="zh-CN"/>
        </w:rPr>
        <w:t>具体</w:t>
      </w:r>
      <w:r>
        <w:rPr>
          <w:rFonts w:hint="eastAsia" w:ascii="仿宋" w:hAnsi="仿宋" w:eastAsia="仿宋" w:cs="仿宋"/>
          <w:color w:val="auto"/>
          <w:sz w:val="28"/>
          <w:szCs w:val="28"/>
        </w:rPr>
        <w:t>地点另行通知。</w:t>
      </w:r>
      <w:r>
        <w:rPr>
          <w:rFonts w:hint="eastAsia" w:cs="Times New Roman"/>
          <w:color w:val="auto"/>
          <w:sz w:val="28"/>
          <w:szCs w:val="28"/>
        </w:rPr>
        <w:t>②</w:t>
      </w:r>
      <w:r>
        <w:rPr>
          <w:rFonts w:hint="eastAsia" w:ascii="仿宋" w:hAnsi="仿宋" w:eastAsia="仿宋" w:cs="仿宋"/>
          <w:color w:val="auto"/>
          <w:sz w:val="28"/>
          <w:szCs w:val="28"/>
        </w:rPr>
        <w:t>面试：考察综合素质和自学能力。面试</w:t>
      </w:r>
      <w:r>
        <w:rPr>
          <w:rFonts w:hint="eastAsia" w:ascii="仿宋" w:hAnsi="仿宋" w:eastAsia="仿宋" w:cs="仿宋"/>
          <w:color w:val="auto"/>
          <w:sz w:val="28"/>
          <w:szCs w:val="28"/>
          <w:lang w:val="en-US" w:eastAsia="zh-CN"/>
        </w:rPr>
        <w:t>开始</w:t>
      </w:r>
      <w:r>
        <w:rPr>
          <w:rFonts w:hint="eastAsia" w:ascii="仿宋" w:hAnsi="仿宋" w:eastAsia="仿宋" w:cs="仿宋"/>
          <w:color w:val="auto"/>
          <w:sz w:val="28"/>
          <w:szCs w:val="28"/>
        </w:rPr>
        <w:t>时间为9月1</w:t>
      </w:r>
      <w:r>
        <w:rPr>
          <w:rFonts w:ascii="仿宋" w:hAnsi="仿宋" w:eastAsia="仿宋" w:cs="仿宋"/>
          <w:color w:val="auto"/>
          <w:sz w:val="28"/>
          <w:szCs w:val="28"/>
        </w:rPr>
        <w:t>4</w:t>
      </w:r>
      <w:r>
        <w:rPr>
          <w:rFonts w:hint="eastAsia" w:ascii="仿宋" w:hAnsi="仿宋" w:eastAsia="仿宋" w:cs="仿宋"/>
          <w:color w:val="auto"/>
          <w:sz w:val="28"/>
          <w:szCs w:val="28"/>
        </w:rPr>
        <w:t>日14:30，地点为统计与数学学院（知行楼A座1楼）</w:t>
      </w:r>
      <w:r>
        <w:rPr>
          <w:rFonts w:ascii="仿宋" w:hAnsi="仿宋" w:eastAsia="仿宋" w:cs="仿宋"/>
          <w:color w:val="auto"/>
          <w:sz w:val="28"/>
          <w:szCs w:val="28"/>
        </w:rPr>
        <w:t>，具体地点另行通知。</w:t>
      </w:r>
      <w:r>
        <w:rPr>
          <w:rFonts w:hint="eastAsia" w:ascii="仿宋" w:hAnsi="仿宋" w:eastAsia="仿宋" w:cs="仿宋"/>
          <w:color w:val="auto"/>
          <w:sz w:val="28"/>
          <w:szCs w:val="28"/>
        </w:rPr>
        <w:t>（备注：学生可提供能展示个人综合能力的支持材料（包括但不限于参加各类竞赛、科研项目、Python数据分析代码等）前来参与面试）</w:t>
      </w:r>
    </w:p>
    <w:p w14:paraId="656209EF">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学院依据考核结果，择优确定录取名单并公示。</w:t>
      </w:r>
    </w:p>
    <w:p w14:paraId="640866FE">
      <w:pPr>
        <w:widowControl/>
        <w:shd w:val="clear" w:color="auto" w:fill="FFFFFF"/>
        <w:spacing w:line="560" w:lineRule="exact"/>
        <w:ind w:firstLine="632"/>
        <w:jc w:val="left"/>
        <w:rPr>
          <w:rFonts w:hint="eastAsia" w:ascii="仿宋" w:hAnsi="仿宋" w:eastAsia="仿宋" w:cs="仿宋"/>
          <w:color w:val="auto"/>
          <w:sz w:val="28"/>
          <w:szCs w:val="28"/>
        </w:rPr>
      </w:pPr>
      <w:r>
        <w:rPr>
          <w:rFonts w:hint="eastAsia" w:ascii="仿宋" w:hAnsi="仿宋" w:eastAsia="仿宋" w:cs="仿宋"/>
          <w:color w:val="auto"/>
          <w:sz w:val="28"/>
          <w:szCs w:val="28"/>
        </w:rPr>
        <w:t>4.录取方式：学院将根据报考学生的笔试成绩、面试成绩按5:</w:t>
      </w:r>
      <w:r>
        <w:rPr>
          <w:rFonts w:ascii="仿宋" w:hAnsi="仿宋" w:eastAsia="仿宋" w:cs="仿宋"/>
          <w:color w:val="auto"/>
          <w:sz w:val="28"/>
          <w:szCs w:val="28"/>
        </w:rPr>
        <w:t>5</w:t>
      </w:r>
      <w:r>
        <w:rPr>
          <w:rFonts w:hint="eastAsia" w:ascii="仿宋" w:hAnsi="仿宋" w:eastAsia="仿宋" w:cs="仿宋"/>
          <w:color w:val="auto"/>
          <w:sz w:val="28"/>
          <w:szCs w:val="28"/>
        </w:rPr>
        <w:t>的比例折算，并根据折算后总成绩的排序从高到低录取。若最终成绩相同，高考数学成绩高者优先；其次复试成绩高者优先。</w:t>
      </w:r>
      <w:r>
        <w:rPr>
          <w:rFonts w:hint="eastAsia" w:ascii="仿宋" w:hAnsi="仿宋" w:eastAsia="仿宋" w:cs="仿宋"/>
          <w:color w:val="auto"/>
          <w:sz w:val="28"/>
          <w:szCs w:val="28"/>
          <w:lang w:val="en-US" w:eastAsia="zh-CN"/>
        </w:rPr>
        <w:t>最终</w:t>
      </w:r>
      <w:r>
        <w:rPr>
          <w:rFonts w:hint="eastAsia" w:ascii="仿宋" w:hAnsi="仿宋" w:eastAsia="仿宋" w:cs="仿宋"/>
          <w:color w:val="auto"/>
          <w:sz w:val="28"/>
          <w:szCs w:val="28"/>
        </w:rPr>
        <w:t>录取名单将在教务处及学院网站公示，如有放弃者不予递补。</w:t>
      </w:r>
    </w:p>
    <w:p w14:paraId="585A1BD6">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5.学籍异动：教务处统一办理学籍异动手续。新生开课前，统计与数学学院完成班级组建、专业教育等准备工作。</w:t>
      </w:r>
    </w:p>
    <w:p w14:paraId="39A0BAF1">
      <w:pPr>
        <w:spacing w:line="52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备注：1.进入实验班的学生不能再次申请转专业。2.相关通知请及时关注学院官网。</w:t>
      </w:r>
    </w:p>
    <w:p w14:paraId="4BE637D2">
      <w:pPr>
        <w:spacing w:line="52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五、实验班退出机制</w:t>
      </w:r>
    </w:p>
    <w:p w14:paraId="5E469E69">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除执行学校本科生学籍管理规定外，原则上出现以下情况之一者，学生应退出实验班：</w:t>
      </w:r>
    </w:p>
    <w:p w14:paraId="66171084">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1.在大一学年、大二学年，若</w:t>
      </w:r>
      <w:r>
        <w:rPr>
          <w:rFonts w:hint="eastAsia" w:ascii="仿宋" w:hAnsi="仿宋" w:eastAsia="仿宋" w:cs="仿宋"/>
          <w:b/>
          <w:bCs/>
          <w:color w:val="auto"/>
          <w:sz w:val="28"/>
          <w:szCs w:val="28"/>
          <w:lang w:val="en-US" w:eastAsia="zh-CN"/>
        </w:rPr>
        <w:t>任一</w:t>
      </w:r>
      <w:r>
        <w:rPr>
          <w:rFonts w:hint="eastAsia" w:ascii="仿宋" w:hAnsi="仿宋" w:eastAsia="仿宋" w:cs="仿宋"/>
          <w:b/>
          <w:bCs/>
          <w:color w:val="auto"/>
          <w:sz w:val="28"/>
          <w:szCs w:val="28"/>
        </w:rPr>
        <w:t>学年</w:t>
      </w:r>
      <w:r>
        <w:rPr>
          <w:rFonts w:hint="eastAsia" w:ascii="仿宋" w:hAnsi="仿宋" w:eastAsia="仿宋" w:cs="仿宋"/>
          <w:color w:val="auto"/>
          <w:sz w:val="28"/>
          <w:szCs w:val="28"/>
        </w:rPr>
        <w:t>有2门及以上必修课（包括通识必修课程、专业基础课程、专业必修课程、实验类必修课程）不及格者；</w:t>
      </w:r>
    </w:p>
    <w:p w14:paraId="0AA9057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2.大一、大二、大三学年任一学年综合素质评价不合格者；</w:t>
      </w:r>
    </w:p>
    <w:p w14:paraId="5C681F88">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3.大一、大二、大三学年任一学年内受到学校警告或警告以上处分者；</w:t>
      </w:r>
    </w:p>
    <w:p w14:paraId="6E8173F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4.不适应在实验班继续学习，自愿申请退出者。</w:t>
      </w:r>
    </w:p>
    <w:p w14:paraId="31AA43BC">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实验班学生退出前有一次申诉机会，能提供实验班工作组认可的成绩或条件者，可以跟班试读一学年，每位最多只有一次试读机会。对于上一学年属于跟班试读的学生，若在本学年所有必修课（包括通识必修课程、专业基础课程、专业必修课程、实验类必修课程）总分排名仍位于本班的后10%之列，则必须在本学年末退出。实验班所有课程原则上不设置补考环节。</w:t>
      </w:r>
    </w:p>
    <w:p w14:paraId="673224A6">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退出学生经学院认定后，报教务处批准，转至相关专业非实验班学习。退出实验班的学生，原则上应在每学期开学后</w:t>
      </w:r>
      <w:r>
        <w:rPr>
          <w:rFonts w:ascii="仿宋" w:hAnsi="仿宋" w:eastAsia="仿宋" w:cs="仿宋"/>
          <w:color w:val="auto"/>
          <w:sz w:val="28"/>
          <w:szCs w:val="28"/>
        </w:rPr>
        <w:t>4周</w:t>
      </w:r>
      <w:r>
        <w:rPr>
          <w:rFonts w:hint="eastAsia" w:ascii="仿宋" w:hAnsi="仿宋" w:eastAsia="仿宋" w:cs="仿宋"/>
          <w:color w:val="auto"/>
          <w:sz w:val="28"/>
          <w:szCs w:val="28"/>
        </w:rPr>
        <w:t>内办理完相关手续。课程之间的衔接工作由学院协调处理。实验班如有学生退出，原则上不再补充。</w:t>
      </w:r>
    </w:p>
    <w:p w14:paraId="7DFD9801">
      <w:pPr>
        <w:spacing w:line="56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六、联系方式</w:t>
      </w:r>
    </w:p>
    <w:p w14:paraId="3AFD2852">
      <w:pPr>
        <w:spacing w:line="52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统计与数学学院地址：湖北经济学院知行楼A座1楼</w:t>
      </w:r>
    </w:p>
    <w:p w14:paraId="15B97B13">
      <w:pPr>
        <w:spacing w:line="52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统计与数学学院联系人及电话：史老师：</w:t>
      </w:r>
      <w:r>
        <w:rPr>
          <w:rFonts w:hint="eastAsia" w:ascii="仿宋" w:hAnsi="仿宋" w:eastAsia="仿宋" w:cs="仿宋"/>
          <w:color w:val="auto"/>
          <w:sz w:val="28"/>
          <w:szCs w:val="28"/>
          <w:lang w:val="en-US" w:eastAsia="zh-CN"/>
        </w:rPr>
        <w:t>15926323710</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夏老师：18007143395</w:t>
      </w:r>
      <w:r>
        <w:rPr>
          <w:rFonts w:hint="eastAsia" w:ascii="仿宋" w:hAnsi="仿宋" w:eastAsia="仿宋" w:cs="仿宋"/>
          <w:color w:val="auto"/>
          <w:sz w:val="28"/>
          <w:szCs w:val="28"/>
          <w:lang w:eastAsia="zh-CN"/>
        </w:rPr>
        <w:t>。</w:t>
      </w:r>
    </w:p>
    <w:p w14:paraId="220E3671">
      <w:pPr>
        <w:spacing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QQ招生咨询群号及二维码：1022961366</w:t>
      </w:r>
    </w:p>
    <w:p w14:paraId="1BFDBF12">
      <w:pPr>
        <w:spacing w:line="240" w:lineRule="auto"/>
        <w:ind w:firstLine="560" w:firstLineChars="20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drawing>
          <wp:inline distT="0" distB="0" distL="114300" distR="114300">
            <wp:extent cx="1374140" cy="2441575"/>
            <wp:effectExtent l="0" t="0" r="10160" b="9525"/>
            <wp:docPr id="1" name="图片 1" descr="qrcode_175655701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_1756557018184"/>
                    <pic:cNvPicPr>
                      <a:picLocks noChangeAspect="1"/>
                    </pic:cNvPicPr>
                  </pic:nvPicPr>
                  <pic:blipFill>
                    <a:blip r:embed="rId4"/>
                    <a:stretch>
                      <a:fillRect/>
                    </a:stretch>
                  </pic:blipFill>
                  <pic:spPr>
                    <a:xfrm>
                      <a:off x="0" y="0"/>
                      <a:ext cx="1374140" cy="2441575"/>
                    </a:xfrm>
                    <a:prstGeom prst="rect">
                      <a:avLst/>
                    </a:prstGeom>
                  </pic:spPr>
                </pic:pic>
              </a:graphicData>
            </a:graphic>
          </wp:inline>
        </w:drawing>
      </w:r>
    </w:p>
    <w:p w14:paraId="7CE40B73">
      <w:pPr>
        <w:spacing w:line="52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七、相关链接</w:t>
      </w:r>
    </w:p>
    <w:p w14:paraId="494AC952">
      <w:pPr>
        <w:spacing w:line="520" w:lineRule="exact"/>
        <w:rPr>
          <w:rFonts w:hint="eastAsia" w:ascii="仿宋" w:hAnsi="仿宋" w:eastAsia="仿宋" w:cs="仿宋"/>
          <w:color w:val="auto"/>
          <w:sz w:val="28"/>
          <w:szCs w:val="28"/>
        </w:rPr>
      </w:pPr>
      <w:r>
        <w:rPr>
          <w:rFonts w:hint="eastAsia" w:ascii="仿宋" w:hAnsi="仿宋" w:eastAsia="仿宋" w:cs="仿宋"/>
          <w:color w:val="auto"/>
          <w:sz w:val="28"/>
          <w:szCs w:val="28"/>
        </w:rPr>
        <w:t>湖北经济学院教务处：</w:t>
      </w:r>
      <w:r>
        <w:rPr>
          <w:color w:val="auto"/>
        </w:rPr>
        <w:fldChar w:fldCharType="begin"/>
      </w:r>
      <w:r>
        <w:rPr>
          <w:color w:val="auto"/>
        </w:rPr>
        <w:instrText xml:space="preserve"> HYPERLINK "https://jwc.hbue.edu.cn/" </w:instrText>
      </w:r>
      <w:r>
        <w:rPr>
          <w:color w:val="auto"/>
        </w:rPr>
        <w:fldChar w:fldCharType="separate"/>
      </w:r>
      <w:r>
        <w:rPr>
          <w:rFonts w:hint="eastAsia" w:ascii="仿宋" w:hAnsi="仿宋" w:eastAsia="仿宋" w:cs="仿宋"/>
          <w:color w:val="auto"/>
          <w:sz w:val="28"/>
          <w:szCs w:val="28"/>
          <w:u w:val="single"/>
        </w:rPr>
        <w:t>https://jwc.hbue.edu.cn/</w:t>
      </w:r>
      <w:r>
        <w:rPr>
          <w:rFonts w:hint="eastAsia" w:ascii="仿宋" w:hAnsi="仿宋" w:eastAsia="仿宋" w:cs="仿宋"/>
          <w:color w:val="auto"/>
          <w:sz w:val="28"/>
          <w:szCs w:val="28"/>
          <w:u w:val="single"/>
        </w:rPr>
        <w:fldChar w:fldCharType="end"/>
      </w:r>
    </w:p>
    <w:p w14:paraId="2E819376">
      <w:pPr>
        <w:spacing w:line="520" w:lineRule="exact"/>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统计</w:t>
      </w:r>
      <w:r>
        <w:rPr>
          <w:rFonts w:hint="eastAsia" w:ascii="仿宋" w:hAnsi="仿宋" w:eastAsia="仿宋" w:cs="仿宋"/>
          <w:color w:val="auto"/>
          <w:sz w:val="28"/>
          <w:szCs w:val="28"/>
          <w:lang w:val="en-US" w:eastAsia="zh-CN"/>
        </w:rPr>
        <w:t>与</w:t>
      </w:r>
      <w:r>
        <w:rPr>
          <w:rFonts w:hint="eastAsia" w:ascii="仿宋" w:hAnsi="仿宋" w:eastAsia="仿宋" w:cs="仿宋"/>
          <w:color w:val="auto"/>
          <w:sz w:val="28"/>
          <w:szCs w:val="28"/>
        </w:rPr>
        <w:t>数学学院官网</w:t>
      </w:r>
      <w:r>
        <w:rPr>
          <w:rFonts w:hint="eastAsia" w:ascii="仿宋" w:hAnsi="仿宋" w:eastAsia="仿宋" w:cs="仿宋"/>
          <w:color w:val="auto"/>
          <w:sz w:val="28"/>
          <w:szCs w:val="28"/>
          <w:lang w:eastAsia="zh-CN"/>
        </w:rPr>
        <w:t>：https://tsxy.hbue.edu.cn/</w:t>
      </w:r>
    </w:p>
    <w:p w14:paraId="2605AF7C">
      <w:pPr>
        <w:spacing w:line="520" w:lineRule="exact"/>
        <w:ind w:firstLine="560" w:firstLineChars="200"/>
        <w:jc w:val="left"/>
        <w:rPr>
          <w:rFonts w:hint="eastAsia" w:ascii="仿宋" w:hAnsi="仿宋" w:eastAsia="仿宋" w:cs="仿宋"/>
          <w:color w:val="auto"/>
          <w:sz w:val="28"/>
          <w:szCs w:val="28"/>
        </w:rPr>
      </w:pPr>
    </w:p>
    <w:p w14:paraId="749343FA">
      <w:pPr>
        <w:spacing w:line="520" w:lineRule="exact"/>
        <w:ind w:firstLine="560" w:firstLineChars="200"/>
        <w:jc w:val="left"/>
        <w:rPr>
          <w:rFonts w:hint="eastAsia" w:ascii="仿宋" w:hAnsi="仿宋" w:eastAsia="仿宋" w:cs="仿宋"/>
          <w:color w:val="auto"/>
          <w:sz w:val="28"/>
          <w:szCs w:val="28"/>
        </w:rPr>
      </w:pPr>
    </w:p>
    <w:p w14:paraId="76661A3E">
      <w:pPr>
        <w:spacing w:line="520" w:lineRule="exact"/>
        <w:ind w:firstLine="560" w:firstLineChars="200"/>
        <w:jc w:val="left"/>
        <w:rPr>
          <w:rFonts w:hint="eastAsia" w:ascii="仿宋" w:hAnsi="仿宋" w:eastAsia="仿宋" w:cs="仿宋"/>
          <w:color w:val="auto"/>
          <w:sz w:val="28"/>
          <w:szCs w:val="28"/>
        </w:rPr>
      </w:pPr>
    </w:p>
    <w:p w14:paraId="0B41F81D">
      <w:pPr>
        <w:spacing w:line="520" w:lineRule="exact"/>
        <w:ind w:firstLine="560" w:firstLineChars="200"/>
        <w:jc w:val="left"/>
        <w:rPr>
          <w:rFonts w:hint="eastAsia" w:ascii="仿宋" w:hAnsi="仿宋" w:eastAsia="仿宋" w:cs="仿宋"/>
          <w:color w:val="auto"/>
          <w:sz w:val="28"/>
          <w:szCs w:val="28"/>
        </w:rPr>
      </w:pPr>
    </w:p>
    <w:p w14:paraId="41612134">
      <w:pPr>
        <w:spacing w:line="520" w:lineRule="exact"/>
        <w:jc w:val="left"/>
        <w:rPr>
          <w:rFonts w:hint="eastAsia" w:ascii="仿宋" w:hAnsi="仿宋" w:eastAsia="仿宋" w:cs="仿宋"/>
          <w:color w:val="auto"/>
          <w:sz w:val="28"/>
          <w:szCs w:val="28"/>
        </w:rPr>
      </w:pPr>
    </w:p>
    <w:p w14:paraId="0020AAC6">
      <w:pPr>
        <w:spacing w:line="520" w:lineRule="exact"/>
        <w:jc w:val="left"/>
        <w:rPr>
          <w:rFonts w:hint="eastAsia" w:ascii="仿宋" w:hAnsi="仿宋" w:eastAsia="仿宋" w:cs="仿宋"/>
          <w:color w:val="auto"/>
          <w:sz w:val="28"/>
          <w:szCs w:val="28"/>
        </w:rPr>
      </w:pPr>
    </w:p>
    <w:p w14:paraId="0DC75179">
      <w:pPr>
        <w:spacing w:line="520" w:lineRule="exact"/>
        <w:rPr>
          <w:rFonts w:hint="eastAsia" w:ascii="仿宋" w:hAnsi="仿宋" w:eastAsia="仿宋" w:cs="仿宋"/>
          <w:b/>
          <w:bCs/>
          <w:color w:val="auto"/>
          <w:sz w:val="28"/>
          <w:szCs w:val="28"/>
        </w:rPr>
      </w:pPr>
      <w:r>
        <w:rPr>
          <w:rFonts w:hint="eastAsia" w:ascii="仿宋" w:hAnsi="仿宋" w:eastAsia="仿宋" w:cs="仿宋"/>
          <w:b/>
          <w:bCs/>
          <w:color w:val="auto"/>
          <w:sz w:val="28"/>
          <w:szCs w:val="28"/>
        </w:rPr>
        <w:t>附件1：</w:t>
      </w:r>
    </w:p>
    <w:p w14:paraId="573E7DA2">
      <w:pPr>
        <w:spacing w:line="520" w:lineRule="exact"/>
        <w:rPr>
          <w:rFonts w:hint="eastAsia" w:ascii="仿宋" w:hAnsi="仿宋" w:eastAsia="仿宋" w:cs="仿宋"/>
          <w:b/>
          <w:bCs/>
          <w:color w:val="auto"/>
          <w:sz w:val="28"/>
          <w:szCs w:val="28"/>
        </w:rPr>
      </w:pPr>
      <w:r>
        <w:rPr>
          <w:rFonts w:hint="eastAsia" w:ascii="仿宋" w:hAnsi="仿宋" w:eastAsia="仿宋" w:cs="仿宋"/>
          <w:b/>
          <w:bCs/>
          <w:color w:val="auto"/>
          <w:sz w:val="28"/>
          <w:szCs w:val="28"/>
        </w:rPr>
        <w:t>2025级统计学（经济大数据分析实验班）遴选时间表</w:t>
      </w:r>
    </w:p>
    <w:tbl>
      <w:tblPr>
        <w:tblStyle w:val="9"/>
        <w:tblW w:w="5080" w:type="pct"/>
        <w:tblInd w:w="-147" w:type="dxa"/>
        <w:tblLayout w:type="autofit"/>
        <w:tblCellMar>
          <w:top w:w="0" w:type="dxa"/>
          <w:left w:w="108" w:type="dxa"/>
          <w:bottom w:w="0" w:type="dxa"/>
          <w:right w:w="108" w:type="dxa"/>
        </w:tblCellMar>
      </w:tblPr>
      <w:tblGrid>
        <w:gridCol w:w="1955"/>
        <w:gridCol w:w="1651"/>
        <w:gridCol w:w="5052"/>
      </w:tblGrid>
      <w:tr w14:paraId="2F592599">
        <w:tblPrEx>
          <w:tblCellMar>
            <w:top w:w="0" w:type="dxa"/>
            <w:left w:w="108" w:type="dxa"/>
            <w:bottom w:w="0" w:type="dxa"/>
            <w:right w:w="108" w:type="dxa"/>
          </w:tblCellMar>
        </w:tblPrEx>
        <w:trPr>
          <w:cantSplit/>
          <w:trHeight w:val="40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E5B3">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时间</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E102">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事项</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EFDC">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地点</w:t>
            </w:r>
          </w:p>
        </w:tc>
      </w:tr>
      <w:tr w14:paraId="2DD6C094">
        <w:tblPrEx>
          <w:tblCellMar>
            <w:top w:w="0" w:type="dxa"/>
            <w:left w:w="108" w:type="dxa"/>
            <w:bottom w:w="0" w:type="dxa"/>
            <w:right w:w="108" w:type="dxa"/>
          </w:tblCellMar>
        </w:tblPrEx>
        <w:trPr>
          <w:cantSplit/>
          <w:trHeight w:val="771"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C47BB">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9月13</w:t>
            </w:r>
            <w:r>
              <w:rPr>
                <w:rFonts w:hint="eastAsia" w:ascii="仿宋" w:hAnsi="仿宋" w:eastAsia="仿宋" w:cs="仿宋"/>
                <w:color w:val="auto"/>
                <w:szCs w:val="21"/>
              </w:rPr>
              <w:t>日1</w:t>
            </w:r>
            <w:r>
              <w:rPr>
                <w:rFonts w:ascii="仿宋" w:hAnsi="仿宋" w:eastAsia="仿宋" w:cs="仿宋"/>
                <w:color w:val="auto"/>
                <w:szCs w:val="21"/>
              </w:rPr>
              <w:t>7</w:t>
            </w:r>
            <w:r>
              <w:rPr>
                <w:rFonts w:hint="eastAsia" w:ascii="仿宋" w:hAnsi="仿宋" w:eastAsia="仿宋" w:cs="仿宋"/>
                <w:color w:val="auto"/>
                <w:szCs w:val="21"/>
              </w:rPr>
              <w:t>：00前</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63E9">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网上预报名</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1982F">
            <w:pPr>
              <w:spacing w:line="240" w:lineRule="atLeast"/>
              <w:jc w:val="center"/>
              <w:rPr>
                <w:rFonts w:hint="default" w:ascii="仿宋" w:hAnsi="仿宋" w:eastAsia="仿宋" w:cs="仿宋"/>
                <w:color w:val="auto"/>
                <w:szCs w:val="21"/>
                <w:lang w:val="en-US" w:eastAsia="zh-CN"/>
              </w:rPr>
            </w:pPr>
            <w:r>
              <w:rPr>
                <w:rFonts w:hint="eastAsia" w:ascii="仿宋" w:hAnsi="仿宋" w:eastAsia="仿宋" w:cs="仿宋"/>
                <w:color w:val="auto"/>
                <w:szCs w:val="21"/>
              </w:rPr>
              <w:t>教务处官网、统计与数学学院官网</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20232008@hbue.edu.cn</w:t>
            </w:r>
          </w:p>
        </w:tc>
      </w:tr>
      <w:tr w14:paraId="661705C0">
        <w:tblPrEx>
          <w:tblCellMar>
            <w:top w:w="0" w:type="dxa"/>
            <w:left w:w="108" w:type="dxa"/>
            <w:bottom w:w="0" w:type="dxa"/>
            <w:right w:w="108" w:type="dxa"/>
          </w:tblCellMar>
        </w:tblPrEx>
        <w:trPr>
          <w:cantSplit/>
          <w:trHeight w:val="612"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C5622">
            <w:pPr>
              <w:spacing w:line="240" w:lineRule="atLeast"/>
              <w:jc w:val="center"/>
              <w:rPr>
                <w:rFonts w:hint="eastAsia" w:ascii="仿宋" w:hAnsi="仿宋" w:eastAsia="仿宋" w:cs="仿宋"/>
                <w:color w:val="auto"/>
                <w:szCs w:val="21"/>
              </w:rPr>
            </w:pPr>
            <w:r>
              <w:rPr>
                <w:rFonts w:ascii="仿宋" w:hAnsi="仿宋" w:eastAsia="仿宋" w:cs="仿宋"/>
                <w:color w:val="auto"/>
                <w:szCs w:val="21"/>
              </w:rPr>
              <w:t>9</w:t>
            </w:r>
            <w:r>
              <w:rPr>
                <w:rFonts w:hint="eastAsia" w:ascii="仿宋" w:hAnsi="仿宋" w:eastAsia="仿宋" w:cs="仿宋"/>
                <w:color w:val="auto"/>
                <w:szCs w:val="21"/>
              </w:rPr>
              <w:t>月</w:t>
            </w:r>
            <w:r>
              <w:rPr>
                <w:rFonts w:ascii="仿宋" w:hAnsi="仿宋" w:eastAsia="仿宋" w:cs="仿宋"/>
                <w:color w:val="auto"/>
                <w:szCs w:val="21"/>
              </w:rPr>
              <w:t>13</w:t>
            </w:r>
            <w:r>
              <w:rPr>
                <w:rFonts w:hint="eastAsia" w:ascii="仿宋" w:hAnsi="仿宋" w:eastAsia="仿宋" w:cs="仿宋"/>
                <w:color w:val="auto"/>
                <w:szCs w:val="21"/>
              </w:rPr>
              <w:t>日17:00</w:t>
            </w:r>
            <w:r>
              <w:rPr>
                <w:rFonts w:ascii="仿宋" w:hAnsi="仿宋" w:eastAsia="仿宋" w:cs="仿宋"/>
                <w:color w:val="auto"/>
                <w:szCs w:val="21"/>
              </w:rPr>
              <w:t>前</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64FC">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现场确认</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6371D">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统计与数学学院</w:t>
            </w:r>
            <w:r>
              <w:rPr>
                <w:rFonts w:ascii="仿宋" w:hAnsi="仿宋" w:eastAsia="仿宋" w:cs="仿宋"/>
                <w:color w:val="auto"/>
                <w:szCs w:val="21"/>
              </w:rPr>
              <w:t>A118</w:t>
            </w:r>
            <w:r>
              <w:rPr>
                <w:rFonts w:hint="eastAsia" w:ascii="仿宋" w:hAnsi="仿宋" w:eastAsia="仿宋" w:cs="仿宋"/>
                <w:color w:val="auto"/>
                <w:szCs w:val="21"/>
              </w:rPr>
              <w:t>室（知行楼A座1楼）</w:t>
            </w:r>
          </w:p>
        </w:tc>
      </w:tr>
      <w:tr w14:paraId="3B388360">
        <w:tblPrEx>
          <w:tblCellMar>
            <w:top w:w="0" w:type="dxa"/>
            <w:left w:w="108" w:type="dxa"/>
            <w:bottom w:w="0" w:type="dxa"/>
            <w:right w:w="108" w:type="dxa"/>
          </w:tblCellMar>
        </w:tblPrEx>
        <w:trPr>
          <w:cantSplit/>
          <w:trHeight w:val="467"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D736F">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9月13</w:t>
            </w:r>
            <w:r>
              <w:rPr>
                <w:rFonts w:hint="eastAsia" w:ascii="仿宋" w:hAnsi="仿宋" w:eastAsia="仿宋" w:cs="仿宋"/>
                <w:color w:val="auto"/>
                <w:szCs w:val="21"/>
              </w:rPr>
              <w:t>日21:00前</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B3B7">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公布入围名单</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4F95">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统计与数学学院官网</w:t>
            </w:r>
          </w:p>
        </w:tc>
      </w:tr>
      <w:tr w14:paraId="78CD8F97">
        <w:tblPrEx>
          <w:tblCellMar>
            <w:top w:w="0" w:type="dxa"/>
            <w:left w:w="108" w:type="dxa"/>
            <w:bottom w:w="0" w:type="dxa"/>
            <w:right w:w="108" w:type="dxa"/>
          </w:tblCellMar>
        </w:tblPrEx>
        <w:trPr>
          <w:cantSplit/>
          <w:trHeight w:val="597"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67D38">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9月14日8</w:t>
            </w:r>
            <w:r>
              <w:rPr>
                <w:rFonts w:hint="eastAsia" w:ascii="仿宋" w:hAnsi="仿宋" w:eastAsia="仿宋" w:cs="仿宋"/>
                <w:color w:val="auto"/>
                <w:szCs w:val="21"/>
              </w:rPr>
              <w:t>:</w:t>
            </w:r>
            <w:r>
              <w:rPr>
                <w:rFonts w:ascii="仿宋" w:hAnsi="仿宋" w:eastAsia="仿宋" w:cs="仿宋"/>
                <w:color w:val="auto"/>
                <w:szCs w:val="21"/>
              </w:rPr>
              <w:t>3</w:t>
            </w:r>
            <w:r>
              <w:rPr>
                <w:rFonts w:hint="eastAsia" w:ascii="仿宋" w:hAnsi="仿宋" w:eastAsia="仿宋" w:cs="仿宋"/>
                <w:color w:val="auto"/>
                <w:szCs w:val="21"/>
              </w:rPr>
              <w:t>0-1</w:t>
            </w:r>
            <w:r>
              <w:rPr>
                <w:rFonts w:ascii="仿宋" w:hAnsi="仿宋" w:eastAsia="仿宋" w:cs="仿宋"/>
                <w:color w:val="auto"/>
                <w:szCs w:val="21"/>
              </w:rPr>
              <w:t>1</w:t>
            </w:r>
            <w:r>
              <w:rPr>
                <w:rFonts w:hint="eastAsia" w:ascii="仿宋" w:hAnsi="仿宋" w:eastAsia="仿宋" w:cs="仿宋"/>
                <w:color w:val="auto"/>
                <w:szCs w:val="21"/>
              </w:rPr>
              <w:t>:</w:t>
            </w:r>
            <w:r>
              <w:rPr>
                <w:rFonts w:ascii="仿宋" w:hAnsi="仿宋" w:eastAsia="仿宋" w:cs="仿宋"/>
                <w:color w:val="auto"/>
                <w:szCs w:val="21"/>
              </w:rPr>
              <w:t>0</w:t>
            </w:r>
            <w:r>
              <w:rPr>
                <w:rFonts w:hint="eastAsia" w:ascii="仿宋" w:hAnsi="仿宋" w:eastAsia="仿宋" w:cs="仿宋"/>
                <w:color w:val="auto"/>
                <w:szCs w:val="21"/>
              </w:rPr>
              <w:t>0</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C69B">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笔试</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C1D6">
            <w:pPr>
              <w:spacing w:line="240" w:lineRule="atLeast"/>
              <w:jc w:val="center"/>
              <w:rPr>
                <w:rFonts w:hint="eastAsia" w:ascii="仿宋" w:hAnsi="仿宋" w:eastAsia="仿宋" w:cs="仿宋"/>
                <w:color w:val="auto"/>
                <w:szCs w:val="21"/>
              </w:rPr>
            </w:pPr>
            <w:r>
              <w:rPr>
                <w:rFonts w:ascii="仿宋" w:hAnsi="仿宋" w:eastAsia="仿宋" w:cs="仿宋"/>
                <w:color w:val="auto"/>
                <w:szCs w:val="21"/>
              </w:rPr>
              <w:t>具体地点</w:t>
            </w:r>
            <w:r>
              <w:rPr>
                <w:rFonts w:hint="eastAsia" w:ascii="仿宋" w:hAnsi="仿宋" w:eastAsia="仿宋" w:cs="仿宋"/>
                <w:color w:val="auto"/>
                <w:szCs w:val="21"/>
              </w:rPr>
              <w:t>另行通知</w:t>
            </w:r>
          </w:p>
        </w:tc>
      </w:tr>
      <w:tr w14:paraId="27269E93">
        <w:tblPrEx>
          <w:tblCellMar>
            <w:top w:w="0" w:type="dxa"/>
            <w:left w:w="108" w:type="dxa"/>
            <w:bottom w:w="0" w:type="dxa"/>
            <w:right w:w="108" w:type="dxa"/>
          </w:tblCellMar>
        </w:tblPrEx>
        <w:trPr>
          <w:cantSplit/>
          <w:trHeight w:val="706"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4F2B">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9月14</w:t>
            </w:r>
            <w:r>
              <w:rPr>
                <w:rFonts w:hint="eastAsia" w:ascii="仿宋" w:hAnsi="仿宋" w:eastAsia="仿宋" w:cs="仿宋"/>
                <w:color w:val="auto"/>
                <w:szCs w:val="21"/>
              </w:rPr>
              <w:t>日1</w:t>
            </w:r>
            <w:r>
              <w:rPr>
                <w:rFonts w:ascii="仿宋" w:hAnsi="仿宋" w:eastAsia="仿宋" w:cs="仿宋"/>
                <w:color w:val="auto"/>
                <w:szCs w:val="21"/>
              </w:rPr>
              <w:t>4</w:t>
            </w:r>
            <w:r>
              <w:rPr>
                <w:rFonts w:hint="eastAsia" w:ascii="仿宋" w:hAnsi="仿宋" w:eastAsia="仿宋" w:cs="仿宋"/>
                <w:color w:val="auto"/>
                <w:szCs w:val="21"/>
              </w:rPr>
              <w:t>:30</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796CD">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面试</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82A0">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统计与数学学院（知行楼A座1楼）</w:t>
            </w:r>
          </w:p>
        </w:tc>
      </w:tr>
      <w:tr w14:paraId="7188B253">
        <w:tblPrEx>
          <w:tblCellMar>
            <w:top w:w="0" w:type="dxa"/>
            <w:left w:w="108" w:type="dxa"/>
            <w:bottom w:w="0" w:type="dxa"/>
            <w:right w:w="108" w:type="dxa"/>
          </w:tblCellMar>
        </w:tblPrEx>
        <w:trPr>
          <w:cantSplit/>
          <w:trHeight w:val="844" w:hRule="atLeast"/>
        </w:trPr>
        <w:tc>
          <w:tcPr>
            <w:tcW w:w="1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BA850">
            <w:pPr>
              <w:spacing w:line="240" w:lineRule="atLeast"/>
              <w:jc w:val="center"/>
              <w:rPr>
                <w:rFonts w:hint="eastAsia" w:ascii="仿宋" w:hAnsi="仿宋" w:eastAsia="仿宋" w:cs="仿宋"/>
                <w:color w:val="auto"/>
                <w:szCs w:val="21"/>
              </w:rPr>
            </w:pPr>
            <w:r>
              <w:rPr>
                <w:rFonts w:ascii="仿宋" w:hAnsi="仿宋" w:eastAsia="仿宋" w:cs="仿宋"/>
                <w:color w:val="auto"/>
                <w:szCs w:val="21"/>
              </w:rPr>
              <w:t>9月15</w:t>
            </w:r>
            <w:r>
              <w:rPr>
                <w:rFonts w:hint="eastAsia" w:ascii="仿宋" w:hAnsi="仿宋" w:eastAsia="仿宋" w:cs="仿宋"/>
                <w:color w:val="auto"/>
                <w:szCs w:val="21"/>
              </w:rPr>
              <w:t>日</w:t>
            </w:r>
          </w:p>
        </w:tc>
        <w:tc>
          <w:tcPr>
            <w:tcW w:w="9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6E6F4">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公示拟录取名单</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2913">
            <w:pPr>
              <w:spacing w:line="240" w:lineRule="atLeast"/>
              <w:jc w:val="center"/>
              <w:rPr>
                <w:rFonts w:hint="eastAsia" w:ascii="仿宋" w:hAnsi="仿宋" w:eastAsia="仿宋" w:cs="仿宋"/>
                <w:color w:val="auto"/>
                <w:szCs w:val="21"/>
              </w:rPr>
            </w:pPr>
            <w:r>
              <w:rPr>
                <w:rFonts w:hint="eastAsia" w:ascii="仿宋" w:hAnsi="仿宋" w:eastAsia="仿宋" w:cs="仿宋"/>
                <w:color w:val="auto"/>
                <w:szCs w:val="21"/>
              </w:rPr>
              <w:t>统计与数学学院官网</w:t>
            </w:r>
          </w:p>
        </w:tc>
      </w:tr>
    </w:tbl>
    <w:p w14:paraId="24FD073C">
      <w:pPr>
        <w:spacing w:line="520" w:lineRule="exact"/>
        <w:rPr>
          <w:rFonts w:hint="eastAsia" w:ascii="仿宋" w:hAnsi="仿宋" w:eastAsia="仿宋" w:cs="仿宋"/>
          <w:b/>
          <w:color w:val="auto"/>
          <w:sz w:val="28"/>
          <w:szCs w:val="28"/>
        </w:rPr>
      </w:pPr>
    </w:p>
    <w:p w14:paraId="0B46AA3E">
      <w:pPr>
        <w:spacing w:line="520" w:lineRule="exact"/>
        <w:rPr>
          <w:rFonts w:hint="eastAsia" w:ascii="仿宋" w:hAnsi="仿宋" w:eastAsia="仿宋" w:cs="仿宋"/>
          <w:b/>
          <w:color w:val="auto"/>
          <w:sz w:val="28"/>
          <w:szCs w:val="28"/>
        </w:rPr>
      </w:pPr>
    </w:p>
    <w:p w14:paraId="7BC33522">
      <w:pPr>
        <w:spacing w:line="520" w:lineRule="exact"/>
        <w:rPr>
          <w:rFonts w:hint="eastAsia" w:ascii="仿宋" w:hAnsi="仿宋" w:eastAsia="仿宋" w:cs="仿宋"/>
          <w:b/>
          <w:color w:val="auto"/>
          <w:sz w:val="28"/>
          <w:szCs w:val="28"/>
        </w:rPr>
      </w:pPr>
    </w:p>
    <w:p w14:paraId="0F393C99">
      <w:pPr>
        <w:spacing w:line="520" w:lineRule="exact"/>
        <w:rPr>
          <w:rFonts w:hint="eastAsia" w:ascii="仿宋" w:hAnsi="仿宋" w:eastAsia="仿宋" w:cs="仿宋"/>
          <w:b/>
          <w:color w:val="auto"/>
          <w:sz w:val="28"/>
          <w:szCs w:val="28"/>
        </w:rPr>
      </w:pPr>
    </w:p>
    <w:p w14:paraId="30FC969A">
      <w:pPr>
        <w:spacing w:line="520" w:lineRule="exact"/>
        <w:rPr>
          <w:rFonts w:hint="eastAsia" w:ascii="仿宋" w:hAnsi="仿宋" w:eastAsia="仿宋" w:cs="仿宋"/>
          <w:b/>
          <w:color w:val="auto"/>
          <w:sz w:val="28"/>
          <w:szCs w:val="28"/>
        </w:rPr>
      </w:pPr>
    </w:p>
    <w:p w14:paraId="74DBB2DE">
      <w:pPr>
        <w:spacing w:line="520" w:lineRule="exact"/>
        <w:rPr>
          <w:rFonts w:hint="eastAsia" w:ascii="仿宋" w:hAnsi="仿宋" w:eastAsia="仿宋" w:cs="仿宋"/>
          <w:b/>
          <w:color w:val="auto"/>
          <w:sz w:val="28"/>
          <w:szCs w:val="28"/>
        </w:rPr>
      </w:pPr>
    </w:p>
    <w:p w14:paraId="0FB2A956">
      <w:pPr>
        <w:spacing w:line="520" w:lineRule="exact"/>
        <w:rPr>
          <w:rFonts w:hint="eastAsia" w:ascii="仿宋" w:hAnsi="仿宋" w:eastAsia="仿宋" w:cs="仿宋"/>
          <w:b/>
          <w:color w:val="auto"/>
          <w:sz w:val="28"/>
          <w:szCs w:val="28"/>
        </w:rPr>
      </w:pPr>
    </w:p>
    <w:p w14:paraId="2B56D95A">
      <w:pPr>
        <w:spacing w:line="520" w:lineRule="exact"/>
        <w:rPr>
          <w:rFonts w:hint="eastAsia" w:ascii="仿宋" w:hAnsi="仿宋" w:eastAsia="仿宋" w:cs="仿宋"/>
          <w:b/>
          <w:color w:val="auto"/>
          <w:sz w:val="28"/>
          <w:szCs w:val="28"/>
        </w:rPr>
      </w:pPr>
    </w:p>
    <w:p w14:paraId="57F19456">
      <w:pPr>
        <w:spacing w:line="520" w:lineRule="exact"/>
        <w:rPr>
          <w:rFonts w:hint="eastAsia" w:ascii="仿宋" w:hAnsi="仿宋" w:eastAsia="仿宋" w:cs="仿宋"/>
          <w:b/>
          <w:color w:val="auto"/>
          <w:sz w:val="28"/>
          <w:szCs w:val="28"/>
        </w:rPr>
      </w:pPr>
    </w:p>
    <w:p w14:paraId="2B110363">
      <w:pPr>
        <w:spacing w:line="520" w:lineRule="exact"/>
        <w:rPr>
          <w:rFonts w:hint="eastAsia" w:ascii="仿宋" w:hAnsi="仿宋" w:eastAsia="仿宋" w:cs="仿宋"/>
          <w:b/>
          <w:color w:val="auto"/>
          <w:sz w:val="28"/>
          <w:szCs w:val="28"/>
        </w:rPr>
      </w:pPr>
    </w:p>
    <w:p w14:paraId="6C3B1E45">
      <w:pPr>
        <w:spacing w:line="520" w:lineRule="exact"/>
        <w:rPr>
          <w:rFonts w:hint="eastAsia" w:ascii="仿宋" w:hAnsi="仿宋" w:eastAsia="仿宋" w:cs="仿宋"/>
          <w:b/>
          <w:color w:val="auto"/>
          <w:sz w:val="28"/>
          <w:szCs w:val="28"/>
        </w:rPr>
      </w:pPr>
    </w:p>
    <w:p w14:paraId="12270108">
      <w:pPr>
        <w:spacing w:line="520" w:lineRule="exact"/>
        <w:rPr>
          <w:rFonts w:hint="eastAsia" w:ascii="仿宋" w:hAnsi="仿宋" w:eastAsia="仿宋" w:cs="仿宋"/>
          <w:b/>
          <w:color w:val="auto"/>
          <w:sz w:val="28"/>
          <w:szCs w:val="28"/>
        </w:rPr>
      </w:pPr>
    </w:p>
    <w:p w14:paraId="28161A77">
      <w:pPr>
        <w:spacing w:line="520" w:lineRule="exact"/>
        <w:rPr>
          <w:rFonts w:hint="eastAsia" w:ascii="仿宋" w:hAnsi="仿宋" w:eastAsia="仿宋" w:cs="仿宋"/>
          <w:b/>
          <w:color w:val="auto"/>
          <w:sz w:val="28"/>
          <w:szCs w:val="28"/>
        </w:rPr>
      </w:pPr>
      <w:bookmarkStart w:id="0" w:name="_GoBack"/>
      <w:bookmarkEnd w:id="0"/>
    </w:p>
    <w:p w14:paraId="46975290">
      <w:pPr>
        <w:spacing w:line="52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附件2：</w:t>
      </w:r>
    </w:p>
    <w:p w14:paraId="4432459B">
      <w:pPr>
        <w:spacing w:line="520" w:lineRule="exact"/>
        <w:ind w:firstLine="2249" w:firstLineChars="800"/>
        <w:rPr>
          <w:rFonts w:hint="eastAsia" w:ascii="仿宋" w:hAnsi="仿宋" w:eastAsia="仿宋" w:cs="仿宋"/>
          <w:b/>
          <w:color w:val="auto"/>
          <w:sz w:val="28"/>
          <w:szCs w:val="28"/>
        </w:rPr>
      </w:pPr>
      <w:r>
        <w:rPr>
          <w:rFonts w:hint="eastAsia" w:ascii="仿宋" w:hAnsi="仿宋" w:eastAsia="仿宋" w:cs="仿宋"/>
          <w:b/>
          <w:color w:val="auto"/>
          <w:sz w:val="28"/>
          <w:szCs w:val="28"/>
        </w:rPr>
        <w:t>湖北经济学院统计与数学学院</w:t>
      </w:r>
    </w:p>
    <w:p w14:paraId="55672315">
      <w:pPr>
        <w:spacing w:line="520" w:lineRule="exact"/>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2025级统计学（经济大数据分析实验班）报名表</w:t>
      </w:r>
    </w:p>
    <w:tbl>
      <w:tblPr>
        <w:tblStyle w:val="9"/>
        <w:tblW w:w="921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565"/>
        <w:gridCol w:w="646"/>
        <w:gridCol w:w="916"/>
        <w:gridCol w:w="85"/>
        <w:gridCol w:w="24"/>
        <w:gridCol w:w="886"/>
        <w:gridCol w:w="752"/>
        <w:gridCol w:w="98"/>
        <w:gridCol w:w="530"/>
        <w:gridCol w:w="68"/>
        <w:gridCol w:w="399"/>
        <w:gridCol w:w="563"/>
        <w:gridCol w:w="700"/>
        <w:gridCol w:w="729"/>
        <w:gridCol w:w="1095"/>
      </w:tblGrid>
      <w:tr w14:paraId="6642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1D94EEA1">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姓  名</w:t>
            </w:r>
          </w:p>
        </w:tc>
        <w:tc>
          <w:tcPr>
            <w:tcW w:w="1671" w:type="dxa"/>
            <w:gridSpan w:val="4"/>
            <w:tcBorders>
              <w:top w:val="single" w:color="auto" w:sz="4" w:space="0"/>
              <w:left w:val="single" w:color="auto" w:sz="4" w:space="0"/>
              <w:bottom w:val="single" w:color="auto" w:sz="4" w:space="0"/>
              <w:right w:val="single" w:color="auto" w:sz="4" w:space="0"/>
            </w:tcBorders>
            <w:vAlign w:val="center"/>
          </w:tcPr>
          <w:p w14:paraId="073FC1DD">
            <w:pPr>
              <w:adjustRightInd w:val="0"/>
              <w:snapToGrid w:val="0"/>
              <w:spacing w:line="288" w:lineRule="auto"/>
              <w:rPr>
                <w:rFonts w:hint="eastAsia" w:ascii="仿宋" w:hAnsi="仿宋" w:eastAsia="仿宋" w:cs="仿宋"/>
                <w:color w:val="auto"/>
                <w:szCs w:val="21"/>
              </w:rPr>
            </w:pPr>
          </w:p>
        </w:tc>
        <w:tc>
          <w:tcPr>
            <w:tcW w:w="886" w:type="dxa"/>
            <w:tcBorders>
              <w:top w:val="single" w:color="auto" w:sz="4" w:space="0"/>
              <w:left w:val="single" w:color="auto" w:sz="4" w:space="0"/>
              <w:bottom w:val="single" w:color="auto" w:sz="4" w:space="0"/>
              <w:right w:val="single" w:color="auto" w:sz="4" w:space="0"/>
            </w:tcBorders>
            <w:vAlign w:val="center"/>
          </w:tcPr>
          <w:p w14:paraId="576975F9">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性  别</w:t>
            </w:r>
          </w:p>
        </w:tc>
        <w:tc>
          <w:tcPr>
            <w:tcW w:w="752" w:type="dxa"/>
            <w:tcBorders>
              <w:top w:val="single" w:color="auto" w:sz="4" w:space="0"/>
              <w:left w:val="single" w:color="auto" w:sz="4" w:space="0"/>
              <w:bottom w:val="single" w:color="auto" w:sz="4" w:space="0"/>
              <w:right w:val="single" w:color="auto" w:sz="4" w:space="0"/>
            </w:tcBorders>
            <w:vAlign w:val="center"/>
          </w:tcPr>
          <w:p w14:paraId="7193FED9">
            <w:pPr>
              <w:adjustRightInd w:val="0"/>
              <w:snapToGrid w:val="0"/>
              <w:spacing w:line="288" w:lineRule="auto"/>
              <w:rPr>
                <w:rFonts w:hint="eastAsia" w:ascii="仿宋" w:hAnsi="仿宋" w:eastAsia="仿宋" w:cs="仿宋"/>
                <w:color w:val="auto"/>
                <w:szCs w:val="21"/>
              </w:rPr>
            </w:pPr>
          </w:p>
        </w:tc>
        <w:tc>
          <w:tcPr>
            <w:tcW w:w="1095" w:type="dxa"/>
            <w:gridSpan w:val="4"/>
            <w:tcBorders>
              <w:top w:val="single" w:color="auto" w:sz="4" w:space="0"/>
              <w:left w:val="single" w:color="auto" w:sz="4" w:space="0"/>
              <w:bottom w:val="nil"/>
              <w:right w:val="single" w:color="auto" w:sz="4" w:space="0"/>
            </w:tcBorders>
            <w:vAlign w:val="center"/>
          </w:tcPr>
          <w:p w14:paraId="1A59A6E1">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出生日期</w:t>
            </w:r>
          </w:p>
        </w:tc>
        <w:tc>
          <w:tcPr>
            <w:tcW w:w="1263" w:type="dxa"/>
            <w:gridSpan w:val="2"/>
            <w:tcBorders>
              <w:top w:val="single" w:color="auto" w:sz="4" w:space="0"/>
              <w:left w:val="single" w:color="auto" w:sz="4" w:space="0"/>
              <w:bottom w:val="single" w:color="auto" w:sz="4" w:space="0"/>
              <w:right w:val="single" w:color="auto" w:sz="4" w:space="0"/>
            </w:tcBorders>
            <w:vAlign w:val="center"/>
          </w:tcPr>
          <w:p w14:paraId="1678068A">
            <w:pPr>
              <w:adjustRightInd w:val="0"/>
              <w:snapToGrid w:val="0"/>
              <w:spacing w:line="288" w:lineRule="auto"/>
              <w:rPr>
                <w:rFonts w:hint="eastAsia" w:ascii="仿宋" w:hAnsi="仿宋" w:eastAsia="仿宋" w:cs="仿宋"/>
                <w:color w:val="auto"/>
                <w:szCs w:val="21"/>
              </w:rPr>
            </w:pPr>
          </w:p>
        </w:tc>
        <w:tc>
          <w:tcPr>
            <w:tcW w:w="1824" w:type="dxa"/>
            <w:gridSpan w:val="2"/>
            <w:vMerge w:val="restart"/>
            <w:tcBorders>
              <w:top w:val="single" w:color="auto" w:sz="4" w:space="0"/>
              <w:left w:val="single" w:color="auto" w:sz="4" w:space="0"/>
              <w:bottom w:val="single" w:color="auto" w:sz="4" w:space="0"/>
              <w:right w:val="single" w:color="auto" w:sz="4" w:space="0"/>
            </w:tcBorders>
            <w:vAlign w:val="center"/>
          </w:tcPr>
          <w:p w14:paraId="38231654">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照片</w:t>
            </w:r>
          </w:p>
        </w:tc>
      </w:tr>
      <w:tr w14:paraId="65E9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229A109C">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籍  贯</w:t>
            </w:r>
          </w:p>
        </w:tc>
        <w:tc>
          <w:tcPr>
            <w:tcW w:w="1671" w:type="dxa"/>
            <w:gridSpan w:val="4"/>
            <w:tcBorders>
              <w:top w:val="single" w:color="auto" w:sz="4" w:space="0"/>
              <w:left w:val="single" w:color="auto" w:sz="4" w:space="0"/>
              <w:bottom w:val="single" w:color="auto" w:sz="4" w:space="0"/>
              <w:right w:val="single" w:color="auto" w:sz="4" w:space="0"/>
            </w:tcBorders>
            <w:vAlign w:val="center"/>
          </w:tcPr>
          <w:p w14:paraId="7F3A49D0">
            <w:pPr>
              <w:adjustRightInd w:val="0"/>
              <w:snapToGrid w:val="0"/>
              <w:spacing w:line="288" w:lineRule="auto"/>
              <w:rPr>
                <w:rFonts w:hint="eastAsia" w:ascii="仿宋" w:hAnsi="仿宋" w:eastAsia="仿宋" w:cs="仿宋"/>
                <w:color w:val="auto"/>
                <w:szCs w:val="21"/>
              </w:rPr>
            </w:pPr>
          </w:p>
        </w:tc>
        <w:tc>
          <w:tcPr>
            <w:tcW w:w="1638" w:type="dxa"/>
            <w:gridSpan w:val="2"/>
            <w:tcBorders>
              <w:top w:val="single" w:color="auto" w:sz="4" w:space="0"/>
              <w:left w:val="single" w:color="auto" w:sz="4" w:space="0"/>
              <w:bottom w:val="nil"/>
              <w:right w:val="single" w:color="auto" w:sz="4" w:space="0"/>
            </w:tcBorders>
            <w:vAlign w:val="center"/>
          </w:tcPr>
          <w:p w14:paraId="430485E1">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出生地</w:t>
            </w:r>
          </w:p>
        </w:tc>
        <w:tc>
          <w:tcPr>
            <w:tcW w:w="2358" w:type="dxa"/>
            <w:gridSpan w:val="6"/>
            <w:tcBorders>
              <w:top w:val="single" w:color="auto" w:sz="4" w:space="0"/>
              <w:left w:val="single" w:color="auto" w:sz="4" w:space="0"/>
              <w:bottom w:val="single" w:color="auto" w:sz="4" w:space="0"/>
              <w:right w:val="single" w:color="auto" w:sz="4" w:space="0"/>
            </w:tcBorders>
            <w:vAlign w:val="center"/>
          </w:tcPr>
          <w:p w14:paraId="5D3ECC7B">
            <w:pPr>
              <w:adjustRightInd w:val="0"/>
              <w:snapToGrid w:val="0"/>
              <w:spacing w:line="288" w:lineRule="auto"/>
              <w:rPr>
                <w:rFonts w:hint="eastAsia" w:ascii="仿宋" w:hAnsi="仿宋" w:eastAsia="仿宋" w:cs="仿宋"/>
                <w:color w:val="auto"/>
                <w:szCs w:val="21"/>
              </w:rPr>
            </w:pPr>
          </w:p>
        </w:tc>
        <w:tc>
          <w:tcPr>
            <w:tcW w:w="1824" w:type="dxa"/>
            <w:gridSpan w:val="2"/>
            <w:vMerge w:val="continue"/>
            <w:tcBorders>
              <w:top w:val="single" w:color="auto" w:sz="4" w:space="0"/>
              <w:left w:val="single" w:color="auto" w:sz="4" w:space="0"/>
              <w:bottom w:val="single" w:color="auto" w:sz="4" w:space="0"/>
              <w:right w:val="single" w:color="auto" w:sz="4" w:space="0"/>
            </w:tcBorders>
            <w:vAlign w:val="center"/>
          </w:tcPr>
          <w:p w14:paraId="53ED9621">
            <w:pPr>
              <w:adjustRightInd w:val="0"/>
              <w:snapToGrid w:val="0"/>
              <w:spacing w:line="288" w:lineRule="auto"/>
              <w:rPr>
                <w:rFonts w:hint="eastAsia" w:ascii="仿宋" w:hAnsi="仿宋" w:eastAsia="仿宋" w:cs="仿宋"/>
                <w:color w:val="auto"/>
                <w:szCs w:val="21"/>
              </w:rPr>
            </w:pPr>
          </w:p>
        </w:tc>
      </w:tr>
      <w:tr w14:paraId="1727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299733F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家庭住址</w:t>
            </w:r>
          </w:p>
        </w:tc>
        <w:tc>
          <w:tcPr>
            <w:tcW w:w="5667" w:type="dxa"/>
            <w:gridSpan w:val="12"/>
            <w:tcBorders>
              <w:top w:val="single" w:color="auto" w:sz="4" w:space="0"/>
              <w:left w:val="single" w:color="auto" w:sz="4" w:space="0"/>
              <w:bottom w:val="single" w:color="auto" w:sz="4" w:space="0"/>
              <w:right w:val="single" w:color="auto" w:sz="4" w:space="0"/>
            </w:tcBorders>
            <w:vAlign w:val="center"/>
          </w:tcPr>
          <w:p w14:paraId="1DFA9EF7">
            <w:pPr>
              <w:adjustRightInd w:val="0"/>
              <w:snapToGrid w:val="0"/>
              <w:spacing w:line="288" w:lineRule="auto"/>
              <w:rPr>
                <w:rFonts w:hint="eastAsia" w:ascii="仿宋" w:hAnsi="仿宋" w:eastAsia="仿宋" w:cs="仿宋"/>
                <w:color w:val="auto"/>
                <w:szCs w:val="21"/>
              </w:rPr>
            </w:pPr>
          </w:p>
        </w:tc>
        <w:tc>
          <w:tcPr>
            <w:tcW w:w="1824" w:type="dxa"/>
            <w:gridSpan w:val="2"/>
            <w:vMerge w:val="continue"/>
            <w:tcBorders>
              <w:top w:val="single" w:color="auto" w:sz="4" w:space="0"/>
              <w:left w:val="single" w:color="auto" w:sz="4" w:space="0"/>
              <w:bottom w:val="single" w:color="auto" w:sz="4" w:space="0"/>
              <w:right w:val="single" w:color="auto" w:sz="4" w:space="0"/>
            </w:tcBorders>
            <w:vAlign w:val="center"/>
          </w:tcPr>
          <w:p w14:paraId="5EAC73C9">
            <w:pPr>
              <w:adjustRightInd w:val="0"/>
              <w:snapToGrid w:val="0"/>
              <w:spacing w:line="288" w:lineRule="auto"/>
              <w:rPr>
                <w:rFonts w:hint="eastAsia" w:ascii="仿宋" w:hAnsi="仿宋" w:eastAsia="仿宋" w:cs="仿宋"/>
                <w:color w:val="auto"/>
                <w:szCs w:val="21"/>
              </w:rPr>
            </w:pPr>
          </w:p>
        </w:tc>
      </w:tr>
      <w:tr w14:paraId="7893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371" w:type="dxa"/>
            <w:gridSpan w:val="3"/>
            <w:tcBorders>
              <w:top w:val="single" w:color="auto" w:sz="4" w:space="0"/>
              <w:left w:val="single" w:color="auto" w:sz="4" w:space="0"/>
              <w:bottom w:val="single" w:color="auto" w:sz="4" w:space="0"/>
              <w:right w:val="single" w:color="auto" w:sz="4" w:space="0"/>
            </w:tcBorders>
            <w:vAlign w:val="center"/>
          </w:tcPr>
          <w:p w14:paraId="73A144E6">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现所在院系班级</w:t>
            </w:r>
          </w:p>
        </w:tc>
        <w:tc>
          <w:tcPr>
            <w:tcW w:w="1911" w:type="dxa"/>
            <w:gridSpan w:val="4"/>
            <w:tcBorders>
              <w:top w:val="single" w:color="auto" w:sz="4" w:space="0"/>
              <w:left w:val="single" w:color="auto" w:sz="4" w:space="0"/>
              <w:bottom w:val="single" w:color="auto" w:sz="4" w:space="0"/>
              <w:right w:val="single" w:color="auto" w:sz="4" w:space="0"/>
            </w:tcBorders>
            <w:vAlign w:val="center"/>
          </w:tcPr>
          <w:p w14:paraId="40BB2976">
            <w:pPr>
              <w:adjustRightInd w:val="0"/>
              <w:snapToGrid w:val="0"/>
              <w:spacing w:line="288" w:lineRule="auto"/>
              <w:rPr>
                <w:rFonts w:hint="eastAsia" w:ascii="仿宋" w:hAnsi="仿宋" w:eastAsia="仿宋" w:cs="仿宋"/>
                <w:color w:val="auto"/>
                <w:szCs w:val="21"/>
              </w:rPr>
            </w:pPr>
          </w:p>
        </w:tc>
        <w:tc>
          <w:tcPr>
            <w:tcW w:w="1380" w:type="dxa"/>
            <w:gridSpan w:val="3"/>
            <w:tcBorders>
              <w:top w:val="single" w:color="auto" w:sz="4" w:space="0"/>
              <w:left w:val="single" w:color="auto" w:sz="4" w:space="0"/>
              <w:bottom w:val="single" w:color="auto" w:sz="4" w:space="0"/>
              <w:right w:val="single" w:color="auto" w:sz="4" w:space="0"/>
            </w:tcBorders>
            <w:vAlign w:val="center"/>
          </w:tcPr>
          <w:p w14:paraId="1383EBA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联系电话</w:t>
            </w:r>
          </w:p>
        </w:tc>
        <w:tc>
          <w:tcPr>
            <w:tcW w:w="1730" w:type="dxa"/>
            <w:gridSpan w:val="4"/>
            <w:tcBorders>
              <w:top w:val="single" w:color="auto" w:sz="4" w:space="0"/>
              <w:left w:val="single" w:color="auto" w:sz="4" w:space="0"/>
              <w:bottom w:val="single" w:color="auto" w:sz="4" w:space="0"/>
              <w:right w:val="single" w:color="auto" w:sz="4" w:space="0"/>
            </w:tcBorders>
            <w:vAlign w:val="center"/>
          </w:tcPr>
          <w:p w14:paraId="0F60C21D">
            <w:pPr>
              <w:adjustRightInd w:val="0"/>
              <w:snapToGrid w:val="0"/>
              <w:spacing w:line="288" w:lineRule="auto"/>
              <w:rPr>
                <w:rFonts w:hint="eastAsia" w:ascii="仿宋" w:hAnsi="仿宋" w:eastAsia="仿宋" w:cs="仿宋"/>
                <w:color w:val="auto"/>
                <w:szCs w:val="21"/>
              </w:rPr>
            </w:pPr>
          </w:p>
        </w:tc>
        <w:tc>
          <w:tcPr>
            <w:tcW w:w="1824" w:type="dxa"/>
            <w:gridSpan w:val="2"/>
            <w:vMerge w:val="continue"/>
            <w:tcBorders>
              <w:top w:val="single" w:color="auto" w:sz="4" w:space="0"/>
              <w:left w:val="single" w:color="auto" w:sz="4" w:space="0"/>
              <w:bottom w:val="single" w:color="auto" w:sz="4" w:space="0"/>
              <w:right w:val="single" w:color="auto" w:sz="4" w:space="0"/>
            </w:tcBorders>
            <w:vAlign w:val="center"/>
          </w:tcPr>
          <w:p w14:paraId="3C2918B3">
            <w:pPr>
              <w:adjustRightInd w:val="0"/>
              <w:snapToGrid w:val="0"/>
              <w:spacing w:line="288" w:lineRule="auto"/>
              <w:rPr>
                <w:rFonts w:hint="eastAsia" w:ascii="仿宋" w:hAnsi="仿宋" w:eastAsia="仿宋" w:cs="仿宋"/>
                <w:color w:val="auto"/>
                <w:szCs w:val="21"/>
              </w:rPr>
            </w:pPr>
          </w:p>
        </w:tc>
      </w:tr>
      <w:tr w14:paraId="1050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216" w:type="dxa"/>
            <w:gridSpan w:val="16"/>
            <w:tcBorders>
              <w:top w:val="single" w:color="auto" w:sz="4" w:space="0"/>
              <w:left w:val="single" w:color="auto" w:sz="4" w:space="0"/>
              <w:bottom w:val="single" w:color="auto" w:sz="4" w:space="0"/>
              <w:right w:val="single" w:color="auto" w:sz="4" w:space="0"/>
            </w:tcBorders>
            <w:vAlign w:val="center"/>
          </w:tcPr>
          <w:p w14:paraId="4F94A19B">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家庭成员（请填写直系亲属完整信息，包括父母、兄弟、姊妹等）</w:t>
            </w:r>
          </w:p>
        </w:tc>
      </w:tr>
      <w:tr w14:paraId="0BF0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0551C290">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关系</w:t>
            </w: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308CDAFD">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姓名</w:t>
            </w: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69EACD5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就职或学习单位（请注明任职或学习状态）</w:t>
            </w:r>
          </w:p>
        </w:tc>
      </w:tr>
      <w:tr w14:paraId="6F3C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752E9A7D">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4298E928">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2BA00693">
            <w:pPr>
              <w:adjustRightInd w:val="0"/>
              <w:snapToGrid w:val="0"/>
              <w:spacing w:line="288" w:lineRule="auto"/>
              <w:rPr>
                <w:rFonts w:hint="eastAsia" w:ascii="仿宋" w:hAnsi="仿宋" w:eastAsia="仿宋" w:cs="仿宋"/>
                <w:color w:val="auto"/>
                <w:szCs w:val="21"/>
              </w:rPr>
            </w:pPr>
          </w:p>
        </w:tc>
      </w:tr>
      <w:tr w14:paraId="244A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745D095E">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6A6E5CC8">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1BC16168">
            <w:pPr>
              <w:adjustRightInd w:val="0"/>
              <w:snapToGrid w:val="0"/>
              <w:spacing w:line="288" w:lineRule="auto"/>
              <w:rPr>
                <w:rFonts w:hint="eastAsia" w:ascii="仿宋" w:hAnsi="仿宋" w:eastAsia="仿宋" w:cs="仿宋"/>
                <w:color w:val="auto"/>
                <w:szCs w:val="21"/>
              </w:rPr>
            </w:pPr>
          </w:p>
        </w:tc>
      </w:tr>
      <w:tr w14:paraId="5FEB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3E62D3D5">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1F15A521">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1598C691">
            <w:pPr>
              <w:adjustRightInd w:val="0"/>
              <w:snapToGrid w:val="0"/>
              <w:spacing w:line="288" w:lineRule="auto"/>
              <w:rPr>
                <w:rFonts w:hint="eastAsia" w:ascii="仿宋" w:hAnsi="仿宋" w:eastAsia="仿宋" w:cs="仿宋"/>
                <w:color w:val="auto"/>
                <w:szCs w:val="21"/>
              </w:rPr>
            </w:pPr>
          </w:p>
        </w:tc>
      </w:tr>
      <w:tr w14:paraId="5F6A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725" w:type="dxa"/>
            <w:gridSpan w:val="2"/>
            <w:tcBorders>
              <w:top w:val="single" w:color="auto" w:sz="4" w:space="0"/>
              <w:left w:val="single" w:color="auto" w:sz="4" w:space="0"/>
              <w:bottom w:val="single" w:color="auto" w:sz="4" w:space="0"/>
              <w:right w:val="single" w:color="auto" w:sz="4" w:space="0"/>
            </w:tcBorders>
            <w:vAlign w:val="center"/>
          </w:tcPr>
          <w:p w14:paraId="1D548A3E">
            <w:pPr>
              <w:adjustRightInd w:val="0"/>
              <w:snapToGrid w:val="0"/>
              <w:spacing w:line="288" w:lineRule="auto"/>
              <w:rPr>
                <w:rFonts w:hint="eastAsia" w:ascii="仿宋" w:hAnsi="仿宋" w:eastAsia="仿宋" w:cs="仿宋"/>
                <w:color w:val="auto"/>
                <w:szCs w:val="21"/>
              </w:rPr>
            </w:pPr>
          </w:p>
        </w:tc>
        <w:tc>
          <w:tcPr>
            <w:tcW w:w="1647" w:type="dxa"/>
            <w:gridSpan w:val="3"/>
            <w:tcBorders>
              <w:top w:val="single" w:color="auto" w:sz="4" w:space="0"/>
              <w:left w:val="single" w:color="auto" w:sz="4" w:space="0"/>
              <w:bottom w:val="single" w:color="auto" w:sz="4" w:space="0"/>
              <w:right w:val="single" w:color="auto" w:sz="4" w:space="0"/>
            </w:tcBorders>
            <w:vAlign w:val="center"/>
          </w:tcPr>
          <w:p w14:paraId="525C2381">
            <w:pPr>
              <w:adjustRightInd w:val="0"/>
              <w:snapToGrid w:val="0"/>
              <w:spacing w:line="288" w:lineRule="auto"/>
              <w:rPr>
                <w:rFonts w:hint="eastAsia" w:ascii="仿宋" w:hAnsi="仿宋" w:eastAsia="仿宋" w:cs="仿宋"/>
                <w:color w:val="auto"/>
                <w:szCs w:val="21"/>
              </w:rPr>
            </w:pPr>
          </w:p>
        </w:tc>
        <w:tc>
          <w:tcPr>
            <w:tcW w:w="5844" w:type="dxa"/>
            <w:gridSpan w:val="11"/>
            <w:tcBorders>
              <w:top w:val="single" w:color="auto" w:sz="4" w:space="0"/>
              <w:left w:val="single" w:color="auto" w:sz="4" w:space="0"/>
              <w:bottom w:val="single" w:color="auto" w:sz="4" w:space="0"/>
              <w:right w:val="single" w:color="auto" w:sz="4" w:space="0"/>
            </w:tcBorders>
            <w:vAlign w:val="center"/>
          </w:tcPr>
          <w:p w14:paraId="462EBC88">
            <w:pPr>
              <w:adjustRightInd w:val="0"/>
              <w:snapToGrid w:val="0"/>
              <w:spacing w:line="288" w:lineRule="auto"/>
              <w:rPr>
                <w:rFonts w:hint="eastAsia" w:ascii="仿宋" w:hAnsi="仿宋" w:eastAsia="仿宋" w:cs="仿宋"/>
                <w:color w:val="auto"/>
                <w:szCs w:val="21"/>
              </w:rPr>
            </w:pPr>
          </w:p>
        </w:tc>
      </w:tr>
      <w:tr w14:paraId="241D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60" w:type="dxa"/>
            <w:vMerge w:val="restart"/>
            <w:tcBorders>
              <w:top w:val="nil"/>
              <w:left w:val="single" w:color="auto" w:sz="4" w:space="0"/>
              <w:bottom w:val="single" w:color="auto" w:sz="4" w:space="0"/>
              <w:right w:val="single" w:color="auto" w:sz="4" w:space="0"/>
            </w:tcBorders>
            <w:vAlign w:val="center"/>
          </w:tcPr>
          <w:p w14:paraId="024572FC">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高考信息</w:t>
            </w:r>
          </w:p>
        </w:tc>
        <w:tc>
          <w:tcPr>
            <w:tcW w:w="1211" w:type="dxa"/>
            <w:gridSpan w:val="2"/>
            <w:tcBorders>
              <w:top w:val="single" w:color="auto" w:sz="4" w:space="0"/>
              <w:left w:val="single" w:color="auto" w:sz="4" w:space="0"/>
              <w:bottom w:val="single" w:color="auto" w:sz="4" w:space="0"/>
              <w:right w:val="single" w:color="auto" w:sz="4" w:space="0"/>
            </w:tcBorders>
            <w:vAlign w:val="center"/>
          </w:tcPr>
          <w:p w14:paraId="2B22B534">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身份证号</w:t>
            </w:r>
          </w:p>
        </w:tc>
        <w:tc>
          <w:tcPr>
            <w:tcW w:w="3359" w:type="dxa"/>
            <w:gridSpan w:val="8"/>
            <w:tcBorders>
              <w:top w:val="single" w:color="auto" w:sz="4" w:space="0"/>
              <w:left w:val="single" w:color="auto" w:sz="4" w:space="0"/>
              <w:bottom w:val="single" w:color="auto" w:sz="4" w:space="0"/>
              <w:right w:val="single" w:color="auto" w:sz="4" w:space="0"/>
            </w:tcBorders>
            <w:vAlign w:val="center"/>
          </w:tcPr>
          <w:p w14:paraId="07771D64">
            <w:pPr>
              <w:adjustRightInd w:val="0"/>
              <w:snapToGrid w:val="0"/>
              <w:spacing w:line="288" w:lineRule="auto"/>
              <w:rPr>
                <w:rFonts w:hint="eastAsia" w:ascii="仿宋" w:hAnsi="仿宋" w:eastAsia="仿宋" w:cs="仿宋"/>
                <w:color w:val="auto"/>
                <w:szCs w:val="21"/>
              </w:rPr>
            </w:pPr>
          </w:p>
        </w:tc>
        <w:tc>
          <w:tcPr>
            <w:tcW w:w="2391" w:type="dxa"/>
            <w:gridSpan w:val="4"/>
            <w:tcBorders>
              <w:top w:val="single" w:color="auto" w:sz="4" w:space="0"/>
              <w:left w:val="single" w:color="auto" w:sz="4" w:space="0"/>
              <w:bottom w:val="single" w:color="auto" w:sz="4" w:space="0"/>
              <w:right w:val="single" w:color="auto" w:sz="4" w:space="0"/>
            </w:tcBorders>
            <w:vAlign w:val="center"/>
          </w:tcPr>
          <w:p w14:paraId="572C74CE">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生源地</w:t>
            </w:r>
          </w:p>
        </w:tc>
        <w:tc>
          <w:tcPr>
            <w:tcW w:w="1095" w:type="dxa"/>
            <w:tcBorders>
              <w:top w:val="single" w:color="auto" w:sz="4" w:space="0"/>
              <w:left w:val="single" w:color="auto" w:sz="4" w:space="0"/>
              <w:bottom w:val="single" w:color="auto" w:sz="4" w:space="0"/>
              <w:right w:val="single" w:color="auto" w:sz="4" w:space="0"/>
            </w:tcBorders>
            <w:vAlign w:val="center"/>
          </w:tcPr>
          <w:p w14:paraId="60BC6E10">
            <w:pPr>
              <w:adjustRightInd w:val="0"/>
              <w:snapToGrid w:val="0"/>
              <w:spacing w:line="288" w:lineRule="auto"/>
              <w:rPr>
                <w:rFonts w:hint="eastAsia" w:ascii="仿宋" w:hAnsi="仿宋" w:eastAsia="仿宋" w:cs="仿宋"/>
                <w:color w:val="auto"/>
                <w:szCs w:val="21"/>
              </w:rPr>
            </w:pPr>
          </w:p>
        </w:tc>
      </w:tr>
      <w:tr w14:paraId="7A13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160" w:type="dxa"/>
            <w:vMerge w:val="continue"/>
            <w:tcBorders>
              <w:top w:val="nil"/>
              <w:left w:val="single" w:color="auto" w:sz="4" w:space="0"/>
              <w:bottom w:val="single" w:color="auto" w:sz="4" w:space="0"/>
              <w:right w:val="single" w:color="auto" w:sz="4" w:space="0"/>
            </w:tcBorders>
            <w:vAlign w:val="center"/>
          </w:tcPr>
          <w:p w14:paraId="09B601F3">
            <w:pPr>
              <w:adjustRightInd w:val="0"/>
              <w:snapToGrid w:val="0"/>
              <w:spacing w:line="288" w:lineRule="auto"/>
              <w:rPr>
                <w:rFonts w:hint="eastAsia" w:ascii="仿宋" w:hAnsi="仿宋" w:eastAsia="仿宋" w:cs="仿宋"/>
                <w:color w:val="auto"/>
                <w:szCs w:val="21"/>
              </w:rPr>
            </w:pPr>
          </w:p>
        </w:tc>
        <w:tc>
          <w:tcPr>
            <w:tcW w:w="1211" w:type="dxa"/>
            <w:gridSpan w:val="2"/>
            <w:tcBorders>
              <w:top w:val="single" w:color="auto" w:sz="4" w:space="0"/>
              <w:left w:val="single" w:color="auto" w:sz="4" w:space="0"/>
              <w:bottom w:val="single" w:color="auto" w:sz="4" w:space="0"/>
              <w:right w:val="single" w:color="auto" w:sz="4" w:space="0"/>
            </w:tcBorders>
            <w:vAlign w:val="center"/>
          </w:tcPr>
          <w:p w14:paraId="0E34AD6E">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科类</w:t>
            </w:r>
          </w:p>
        </w:tc>
        <w:tc>
          <w:tcPr>
            <w:tcW w:w="916" w:type="dxa"/>
            <w:tcBorders>
              <w:top w:val="single" w:color="auto" w:sz="4" w:space="0"/>
              <w:left w:val="single" w:color="auto" w:sz="4" w:space="0"/>
              <w:bottom w:val="single" w:color="auto" w:sz="4" w:space="0"/>
              <w:right w:val="single" w:color="auto" w:sz="4" w:space="0"/>
            </w:tcBorders>
            <w:vAlign w:val="center"/>
          </w:tcPr>
          <w:p w14:paraId="2F7818C8">
            <w:pPr>
              <w:adjustRightInd w:val="0"/>
              <w:snapToGrid w:val="0"/>
              <w:spacing w:line="288" w:lineRule="auto"/>
              <w:jc w:val="center"/>
              <w:rPr>
                <w:rFonts w:hint="eastAsia" w:ascii="仿宋" w:hAnsi="仿宋" w:eastAsia="仿宋" w:cs="仿宋"/>
                <w:color w:val="auto"/>
                <w:szCs w:val="21"/>
              </w:rPr>
            </w:pPr>
          </w:p>
        </w:tc>
        <w:tc>
          <w:tcPr>
            <w:tcW w:w="995"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C587633">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应、往届</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2672E85">
            <w:pPr>
              <w:adjustRightInd w:val="0"/>
              <w:snapToGrid w:val="0"/>
              <w:spacing w:line="288" w:lineRule="auto"/>
              <w:jc w:val="center"/>
              <w:rPr>
                <w:rFonts w:hint="eastAsia" w:ascii="仿宋" w:hAnsi="仿宋" w:eastAsia="仿宋" w:cs="仿宋"/>
                <w:color w:val="auto"/>
                <w:szCs w:val="21"/>
              </w:rPr>
            </w:pPr>
          </w:p>
        </w:tc>
        <w:tc>
          <w:tcPr>
            <w:tcW w:w="1560"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1986202">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户口类型</w:t>
            </w:r>
          </w:p>
          <w:p w14:paraId="01B4FE06">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（农村、城市）</w:t>
            </w:r>
          </w:p>
        </w:tc>
        <w:tc>
          <w:tcPr>
            <w:tcW w:w="700" w:type="dxa"/>
            <w:tcBorders>
              <w:top w:val="single" w:color="auto" w:sz="4" w:space="0"/>
              <w:left w:val="single" w:color="auto" w:sz="4" w:space="0"/>
              <w:bottom w:val="single" w:color="auto" w:sz="4" w:space="0"/>
              <w:right w:val="single" w:color="auto" w:sz="4" w:space="0"/>
            </w:tcBorders>
            <w:vAlign w:val="center"/>
          </w:tcPr>
          <w:p w14:paraId="107DF0E0">
            <w:pPr>
              <w:adjustRightInd w:val="0"/>
              <w:snapToGrid w:val="0"/>
              <w:spacing w:line="288" w:lineRule="auto"/>
              <w:jc w:val="center"/>
              <w:rPr>
                <w:rFonts w:hint="eastAsia" w:ascii="仿宋" w:hAnsi="仿宋" w:eastAsia="仿宋" w:cs="仿宋"/>
                <w:color w:val="auto"/>
                <w:szCs w:val="21"/>
              </w:rPr>
            </w:pPr>
          </w:p>
        </w:tc>
        <w:tc>
          <w:tcPr>
            <w:tcW w:w="729" w:type="dxa"/>
            <w:tcBorders>
              <w:top w:val="single" w:color="auto" w:sz="4" w:space="0"/>
              <w:left w:val="single" w:color="auto" w:sz="4" w:space="0"/>
              <w:bottom w:val="single" w:color="auto" w:sz="4" w:space="0"/>
              <w:right w:val="single" w:color="auto" w:sz="4" w:space="0"/>
            </w:tcBorders>
            <w:vAlign w:val="center"/>
          </w:tcPr>
          <w:p w14:paraId="0511AA89">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总分</w:t>
            </w:r>
          </w:p>
        </w:tc>
        <w:tc>
          <w:tcPr>
            <w:tcW w:w="1095" w:type="dxa"/>
            <w:tcBorders>
              <w:top w:val="single" w:color="auto" w:sz="4" w:space="0"/>
              <w:left w:val="single" w:color="auto" w:sz="4" w:space="0"/>
              <w:bottom w:val="single" w:color="auto" w:sz="4" w:space="0"/>
              <w:right w:val="single" w:color="auto" w:sz="4" w:space="0"/>
            </w:tcBorders>
            <w:vAlign w:val="center"/>
          </w:tcPr>
          <w:p w14:paraId="285B33C9">
            <w:pPr>
              <w:adjustRightInd w:val="0"/>
              <w:snapToGrid w:val="0"/>
              <w:spacing w:line="288" w:lineRule="auto"/>
              <w:jc w:val="center"/>
              <w:rPr>
                <w:rFonts w:hint="eastAsia" w:ascii="仿宋" w:hAnsi="仿宋" w:eastAsia="仿宋" w:cs="仿宋"/>
                <w:color w:val="auto"/>
                <w:szCs w:val="21"/>
              </w:rPr>
            </w:pPr>
          </w:p>
        </w:tc>
      </w:tr>
      <w:tr w14:paraId="6424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160" w:type="dxa"/>
            <w:vMerge w:val="continue"/>
            <w:tcBorders>
              <w:top w:val="nil"/>
              <w:left w:val="single" w:color="auto" w:sz="4" w:space="0"/>
              <w:bottom w:val="single" w:color="auto" w:sz="4" w:space="0"/>
              <w:right w:val="single" w:color="auto" w:sz="4" w:space="0"/>
            </w:tcBorders>
            <w:vAlign w:val="center"/>
          </w:tcPr>
          <w:p w14:paraId="73339673">
            <w:pPr>
              <w:adjustRightInd w:val="0"/>
              <w:snapToGrid w:val="0"/>
              <w:spacing w:line="288" w:lineRule="auto"/>
              <w:rPr>
                <w:rFonts w:hint="eastAsia" w:ascii="仿宋" w:hAnsi="仿宋" w:eastAsia="仿宋" w:cs="仿宋"/>
                <w:color w:val="auto"/>
                <w:szCs w:val="21"/>
              </w:rPr>
            </w:pPr>
          </w:p>
        </w:tc>
        <w:tc>
          <w:tcPr>
            <w:tcW w:w="1211" w:type="dxa"/>
            <w:gridSpan w:val="2"/>
            <w:tcBorders>
              <w:top w:val="single" w:color="auto" w:sz="4" w:space="0"/>
              <w:left w:val="single" w:color="auto" w:sz="4" w:space="0"/>
              <w:bottom w:val="single" w:color="auto" w:sz="4" w:space="0"/>
              <w:right w:val="single" w:color="auto" w:sz="4" w:space="0"/>
            </w:tcBorders>
            <w:vAlign w:val="center"/>
          </w:tcPr>
          <w:p w14:paraId="011E3FA0">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语文</w:t>
            </w:r>
          </w:p>
        </w:tc>
        <w:tc>
          <w:tcPr>
            <w:tcW w:w="916" w:type="dxa"/>
            <w:tcBorders>
              <w:top w:val="single" w:color="auto" w:sz="4" w:space="0"/>
              <w:left w:val="single" w:color="auto" w:sz="4" w:space="0"/>
              <w:bottom w:val="single" w:color="auto" w:sz="4" w:space="0"/>
              <w:right w:val="single" w:color="auto" w:sz="4" w:space="0"/>
            </w:tcBorders>
            <w:vAlign w:val="center"/>
          </w:tcPr>
          <w:p w14:paraId="1D9FCADC">
            <w:pPr>
              <w:adjustRightInd w:val="0"/>
              <w:snapToGrid w:val="0"/>
              <w:spacing w:line="288" w:lineRule="auto"/>
              <w:jc w:val="center"/>
              <w:rPr>
                <w:rFonts w:hint="eastAsia" w:ascii="仿宋" w:hAnsi="仿宋" w:eastAsia="仿宋" w:cs="仿宋"/>
                <w:color w:val="auto"/>
                <w:szCs w:val="21"/>
              </w:rPr>
            </w:pPr>
          </w:p>
        </w:tc>
        <w:tc>
          <w:tcPr>
            <w:tcW w:w="995" w:type="dxa"/>
            <w:gridSpan w:val="3"/>
            <w:tcBorders>
              <w:top w:val="single" w:color="auto" w:sz="4" w:space="0"/>
              <w:left w:val="single" w:color="auto" w:sz="4" w:space="0"/>
              <w:bottom w:val="single" w:color="auto" w:sz="4" w:space="0"/>
              <w:right w:val="single" w:color="auto" w:sz="4" w:space="0"/>
            </w:tcBorders>
            <w:vAlign w:val="center"/>
          </w:tcPr>
          <w:p w14:paraId="693F6007">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数学</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24E03079">
            <w:pPr>
              <w:adjustRightInd w:val="0"/>
              <w:snapToGrid w:val="0"/>
              <w:spacing w:line="288" w:lineRule="auto"/>
              <w:jc w:val="center"/>
              <w:rPr>
                <w:rFonts w:hint="eastAsia" w:ascii="仿宋" w:hAnsi="仿宋" w:eastAsia="仿宋" w:cs="仿宋"/>
                <w:color w:val="auto"/>
                <w:szCs w:val="21"/>
              </w:rPr>
            </w:pPr>
          </w:p>
        </w:tc>
        <w:tc>
          <w:tcPr>
            <w:tcW w:w="1560" w:type="dxa"/>
            <w:gridSpan w:val="4"/>
            <w:tcBorders>
              <w:top w:val="single" w:color="auto" w:sz="4" w:space="0"/>
              <w:left w:val="single" w:color="auto" w:sz="4" w:space="0"/>
              <w:bottom w:val="single" w:color="auto" w:sz="4" w:space="0"/>
              <w:right w:val="single" w:color="auto" w:sz="4" w:space="0"/>
            </w:tcBorders>
            <w:vAlign w:val="center"/>
          </w:tcPr>
          <w:p w14:paraId="50AE9D4A">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英语</w:t>
            </w:r>
          </w:p>
        </w:tc>
        <w:tc>
          <w:tcPr>
            <w:tcW w:w="700" w:type="dxa"/>
            <w:tcBorders>
              <w:top w:val="single" w:color="auto" w:sz="4" w:space="0"/>
              <w:left w:val="single" w:color="auto" w:sz="4" w:space="0"/>
              <w:bottom w:val="single" w:color="auto" w:sz="4" w:space="0"/>
              <w:right w:val="single" w:color="auto" w:sz="4" w:space="0"/>
            </w:tcBorders>
            <w:vAlign w:val="center"/>
          </w:tcPr>
          <w:p w14:paraId="626A827E">
            <w:pPr>
              <w:adjustRightInd w:val="0"/>
              <w:snapToGrid w:val="0"/>
              <w:spacing w:line="288" w:lineRule="auto"/>
              <w:jc w:val="center"/>
              <w:rPr>
                <w:rFonts w:hint="eastAsia" w:ascii="仿宋" w:hAnsi="仿宋" w:eastAsia="仿宋" w:cs="仿宋"/>
                <w:color w:val="auto"/>
                <w:szCs w:val="21"/>
              </w:rPr>
            </w:pPr>
          </w:p>
        </w:tc>
        <w:tc>
          <w:tcPr>
            <w:tcW w:w="729" w:type="dxa"/>
            <w:tcBorders>
              <w:top w:val="single" w:color="auto" w:sz="4" w:space="0"/>
              <w:left w:val="single" w:color="auto" w:sz="4" w:space="0"/>
              <w:bottom w:val="single" w:color="auto" w:sz="4" w:space="0"/>
              <w:right w:val="single" w:color="auto" w:sz="4" w:space="0"/>
            </w:tcBorders>
            <w:vAlign w:val="center"/>
          </w:tcPr>
          <w:p w14:paraId="007D0393">
            <w:pPr>
              <w:adjustRightInd w:val="0"/>
              <w:snapToGrid w:val="0"/>
              <w:spacing w:line="288" w:lineRule="auto"/>
              <w:jc w:val="center"/>
              <w:rPr>
                <w:rFonts w:hint="eastAsia" w:ascii="仿宋" w:hAnsi="仿宋" w:eastAsia="仿宋" w:cs="仿宋"/>
                <w:color w:val="auto"/>
                <w:szCs w:val="21"/>
              </w:rPr>
            </w:pPr>
            <w:r>
              <w:rPr>
                <w:rFonts w:hint="eastAsia" w:ascii="仿宋" w:hAnsi="仿宋" w:eastAsia="仿宋" w:cs="仿宋"/>
                <w:color w:val="auto"/>
                <w:szCs w:val="21"/>
              </w:rPr>
              <w:t>综合</w:t>
            </w:r>
          </w:p>
        </w:tc>
        <w:tc>
          <w:tcPr>
            <w:tcW w:w="1095" w:type="dxa"/>
            <w:tcBorders>
              <w:top w:val="single" w:color="auto" w:sz="4" w:space="0"/>
              <w:left w:val="single" w:color="auto" w:sz="4" w:space="0"/>
              <w:bottom w:val="single" w:color="auto" w:sz="4" w:space="0"/>
              <w:right w:val="single" w:color="auto" w:sz="4" w:space="0"/>
            </w:tcBorders>
          </w:tcPr>
          <w:p w14:paraId="568198CF">
            <w:pPr>
              <w:adjustRightInd w:val="0"/>
              <w:snapToGrid w:val="0"/>
              <w:spacing w:line="288" w:lineRule="auto"/>
              <w:jc w:val="center"/>
              <w:rPr>
                <w:rFonts w:hint="eastAsia" w:ascii="仿宋" w:hAnsi="仿宋" w:eastAsia="仿宋" w:cs="仿宋"/>
                <w:color w:val="auto"/>
                <w:szCs w:val="21"/>
              </w:rPr>
            </w:pPr>
          </w:p>
        </w:tc>
      </w:tr>
      <w:tr w14:paraId="4D5D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0" w:type="dxa"/>
            <w:tcBorders>
              <w:top w:val="single" w:color="auto" w:sz="4" w:space="0"/>
              <w:left w:val="single" w:color="auto" w:sz="4" w:space="0"/>
              <w:bottom w:val="single" w:color="auto" w:sz="4" w:space="0"/>
              <w:right w:val="single" w:color="auto" w:sz="4" w:space="0"/>
            </w:tcBorders>
            <w:vAlign w:val="center"/>
          </w:tcPr>
          <w:p w14:paraId="7DB6DED0">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特长奖励</w:t>
            </w:r>
          </w:p>
        </w:tc>
        <w:tc>
          <w:tcPr>
            <w:tcW w:w="8056" w:type="dxa"/>
            <w:gridSpan w:val="15"/>
            <w:tcBorders>
              <w:top w:val="single" w:color="auto" w:sz="4" w:space="0"/>
              <w:left w:val="single" w:color="auto" w:sz="4" w:space="0"/>
              <w:bottom w:val="single" w:color="auto" w:sz="4" w:space="0"/>
              <w:right w:val="single" w:color="auto" w:sz="4" w:space="0"/>
            </w:tcBorders>
            <w:vAlign w:val="center"/>
          </w:tcPr>
          <w:p w14:paraId="256028C5">
            <w:pPr>
              <w:adjustRightInd w:val="0"/>
              <w:snapToGrid w:val="0"/>
              <w:spacing w:line="288" w:lineRule="auto"/>
              <w:jc w:val="center"/>
              <w:rPr>
                <w:rFonts w:hint="eastAsia" w:ascii="仿宋" w:hAnsi="仿宋" w:eastAsia="仿宋" w:cs="仿宋"/>
                <w:color w:val="auto"/>
                <w:szCs w:val="21"/>
              </w:rPr>
            </w:pPr>
          </w:p>
        </w:tc>
      </w:tr>
      <w:tr w14:paraId="0876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371" w:type="dxa"/>
            <w:gridSpan w:val="3"/>
            <w:tcBorders>
              <w:top w:val="single" w:color="auto" w:sz="4" w:space="0"/>
              <w:left w:val="single" w:color="auto" w:sz="4" w:space="0"/>
              <w:bottom w:val="single" w:color="auto" w:sz="4" w:space="0"/>
              <w:right w:val="single" w:color="auto" w:sz="4" w:space="0"/>
            </w:tcBorders>
            <w:vAlign w:val="center"/>
          </w:tcPr>
          <w:p w14:paraId="182A8D7B">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数据分析及处理能力</w:t>
            </w:r>
          </w:p>
          <w:p w14:paraId="6C2D996A">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（如PYTHON编程语言）</w:t>
            </w:r>
          </w:p>
        </w:tc>
        <w:tc>
          <w:tcPr>
            <w:tcW w:w="6845" w:type="dxa"/>
            <w:gridSpan w:val="13"/>
            <w:tcBorders>
              <w:top w:val="single" w:color="auto" w:sz="4" w:space="0"/>
              <w:left w:val="single" w:color="auto" w:sz="4" w:space="0"/>
              <w:bottom w:val="single" w:color="auto" w:sz="4" w:space="0"/>
              <w:right w:val="single" w:color="auto" w:sz="4" w:space="0"/>
            </w:tcBorders>
            <w:vAlign w:val="center"/>
          </w:tcPr>
          <w:p w14:paraId="5651E56E">
            <w:pPr>
              <w:adjustRightInd w:val="0"/>
              <w:snapToGrid w:val="0"/>
              <w:spacing w:line="288" w:lineRule="auto"/>
              <w:rPr>
                <w:rFonts w:hint="eastAsia" w:ascii="仿宋" w:hAnsi="仿宋" w:eastAsia="仿宋" w:cs="仿宋"/>
                <w:color w:val="auto"/>
                <w:szCs w:val="21"/>
              </w:rPr>
            </w:pPr>
          </w:p>
        </w:tc>
      </w:tr>
      <w:tr w14:paraId="5504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160" w:type="dxa"/>
            <w:tcBorders>
              <w:top w:val="single" w:color="auto" w:sz="4" w:space="0"/>
              <w:left w:val="single" w:color="auto" w:sz="4" w:space="0"/>
              <w:bottom w:val="single" w:color="auto" w:sz="4" w:space="0"/>
              <w:right w:val="single" w:color="auto" w:sz="4" w:space="0"/>
            </w:tcBorders>
            <w:vAlign w:val="center"/>
          </w:tcPr>
          <w:p w14:paraId="2071D192">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说明</w:t>
            </w:r>
          </w:p>
        </w:tc>
        <w:tc>
          <w:tcPr>
            <w:tcW w:w="8056" w:type="dxa"/>
            <w:gridSpan w:val="15"/>
            <w:tcBorders>
              <w:top w:val="single" w:color="auto" w:sz="4" w:space="0"/>
              <w:left w:val="single" w:color="auto" w:sz="4" w:space="0"/>
              <w:bottom w:val="single" w:color="auto" w:sz="4" w:space="0"/>
              <w:right w:val="single" w:color="auto" w:sz="4" w:space="0"/>
            </w:tcBorders>
          </w:tcPr>
          <w:p w14:paraId="3BEFC48F">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1.报名：</w:t>
            </w:r>
            <w:r>
              <w:rPr>
                <w:rFonts w:ascii="仿宋" w:hAnsi="仿宋" w:eastAsia="仿宋" w:cs="仿宋"/>
                <w:color w:val="auto"/>
                <w:szCs w:val="21"/>
              </w:rPr>
              <w:t>9月13日17</w:t>
            </w:r>
            <w:r>
              <w:rPr>
                <w:rFonts w:hint="eastAsia" w:ascii="仿宋" w:hAnsi="仿宋" w:eastAsia="仿宋" w:cs="仿宋"/>
                <w:color w:val="auto"/>
                <w:szCs w:val="21"/>
              </w:rPr>
              <w:t>：00前。并于2025年</w:t>
            </w:r>
            <w:r>
              <w:rPr>
                <w:rFonts w:ascii="仿宋" w:hAnsi="仿宋" w:eastAsia="仿宋" w:cs="仿宋"/>
                <w:color w:val="auto"/>
                <w:szCs w:val="21"/>
              </w:rPr>
              <w:t>9月13</w:t>
            </w:r>
            <w:r>
              <w:rPr>
                <w:rFonts w:hint="eastAsia" w:ascii="仿宋" w:hAnsi="仿宋" w:eastAsia="仿宋" w:cs="仿宋"/>
                <w:color w:val="auto"/>
                <w:szCs w:val="21"/>
              </w:rPr>
              <w:t>日17:00前将报名登记表及证明材料（高考成绩、证书复印件或其他证明材料）纸质版报送统计与数学学院</w:t>
            </w:r>
            <w:r>
              <w:rPr>
                <w:rFonts w:ascii="仿宋" w:hAnsi="仿宋" w:eastAsia="仿宋" w:cs="仿宋"/>
                <w:color w:val="auto"/>
                <w:szCs w:val="21"/>
              </w:rPr>
              <w:t>A118</w:t>
            </w:r>
            <w:r>
              <w:rPr>
                <w:rFonts w:hint="eastAsia" w:ascii="仿宋" w:hAnsi="仿宋" w:eastAsia="仿宋" w:cs="仿宋"/>
                <w:color w:val="auto"/>
                <w:szCs w:val="21"/>
              </w:rPr>
              <w:t>室（知行楼A座1楼）进行现场确认。</w:t>
            </w:r>
          </w:p>
          <w:p w14:paraId="48B89577">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2.资格审查：</w:t>
            </w:r>
            <w:r>
              <w:rPr>
                <w:rFonts w:ascii="仿宋" w:hAnsi="仿宋" w:eastAsia="仿宋" w:cs="仿宋"/>
                <w:color w:val="auto"/>
                <w:szCs w:val="21"/>
              </w:rPr>
              <w:t>9月1</w:t>
            </w:r>
            <w:r>
              <w:rPr>
                <w:rFonts w:hint="eastAsia" w:ascii="仿宋" w:hAnsi="仿宋" w:eastAsia="仿宋" w:cs="仿宋"/>
                <w:color w:val="auto"/>
                <w:szCs w:val="21"/>
                <w:lang w:val="en-US" w:eastAsia="zh-CN"/>
              </w:rPr>
              <w:t>3</w:t>
            </w:r>
            <w:r>
              <w:rPr>
                <w:rFonts w:hint="eastAsia" w:ascii="仿宋" w:hAnsi="仿宋" w:eastAsia="仿宋" w:cs="仿宋"/>
                <w:color w:val="auto"/>
                <w:szCs w:val="21"/>
              </w:rPr>
              <w:t>日21:00前在统计与数学学院官网公布入围学生名单</w:t>
            </w:r>
          </w:p>
          <w:p w14:paraId="2D5CD966">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3.组织考试：具体安排见相关学院通知（官网、QQ群）</w:t>
            </w:r>
          </w:p>
          <w:p w14:paraId="53C4F763">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4.拟录取名单公示：</w:t>
            </w:r>
            <w:r>
              <w:rPr>
                <w:rFonts w:ascii="仿宋" w:hAnsi="仿宋" w:eastAsia="仿宋" w:cs="仿宋"/>
                <w:color w:val="auto"/>
                <w:szCs w:val="21"/>
              </w:rPr>
              <w:t>9月15</w:t>
            </w:r>
            <w:r>
              <w:rPr>
                <w:rFonts w:hint="eastAsia" w:ascii="仿宋" w:hAnsi="仿宋" w:eastAsia="仿宋" w:cs="仿宋"/>
                <w:color w:val="auto"/>
                <w:szCs w:val="21"/>
              </w:rPr>
              <w:t>日</w:t>
            </w:r>
          </w:p>
          <w:p w14:paraId="1AA47902">
            <w:pPr>
              <w:adjustRightInd w:val="0"/>
              <w:snapToGrid w:val="0"/>
              <w:spacing w:line="288" w:lineRule="auto"/>
              <w:rPr>
                <w:rFonts w:hint="eastAsia" w:ascii="仿宋" w:hAnsi="仿宋" w:eastAsia="仿宋" w:cs="仿宋"/>
                <w:color w:val="auto"/>
                <w:szCs w:val="21"/>
              </w:rPr>
            </w:pPr>
          </w:p>
          <w:p w14:paraId="1B2A9C50">
            <w:pPr>
              <w:adjustRightInd w:val="0"/>
              <w:snapToGrid w:val="0"/>
              <w:spacing w:line="288" w:lineRule="auto"/>
              <w:rPr>
                <w:rFonts w:hint="eastAsia" w:ascii="仿宋" w:hAnsi="仿宋" w:eastAsia="仿宋" w:cs="仿宋"/>
                <w:color w:val="auto"/>
                <w:szCs w:val="21"/>
              </w:rPr>
            </w:pPr>
          </w:p>
          <w:p w14:paraId="7602E6DF">
            <w:pPr>
              <w:adjustRightInd w:val="0"/>
              <w:snapToGrid w:val="0"/>
              <w:spacing w:line="288" w:lineRule="auto"/>
              <w:rPr>
                <w:rFonts w:hint="eastAsia" w:ascii="仿宋" w:hAnsi="仿宋" w:eastAsia="仿宋" w:cs="仿宋"/>
                <w:color w:val="auto"/>
                <w:szCs w:val="21"/>
              </w:rPr>
            </w:pPr>
            <w:r>
              <w:rPr>
                <w:rFonts w:hint="eastAsia" w:ascii="仿宋" w:hAnsi="仿宋" w:eastAsia="仿宋" w:cs="仿宋"/>
                <w:color w:val="auto"/>
                <w:szCs w:val="21"/>
              </w:rPr>
              <w:t xml:space="preserve">                           学生签名：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家长签名：</w:t>
            </w:r>
            <w:r>
              <w:rPr>
                <w:rFonts w:hint="eastAsia" w:ascii="仿宋" w:hAnsi="仿宋" w:eastAsia="仿宋" w:cs="仿宋"/>
                <w:color w:val="auto"/>
                <w:szCs w:val="21"/>
                <w:u w:val="single"/>
              </w:rPr>
              <w:t xml:space="preserve">           </w:t>
            </w:r>
          </w:p>
          <w:p w14:paraId="47263406">
            <w:pPr>
              <w:adjustRightInd w:val="0"/>
              <w:snapToGrid w:val="0"/>
              <w:spacing w:line="288" w:lineRule="auto"/>
              <w:rPr>
                <w:rFonts w:hint="eastAsia" w:ascii="仿宋" w:hAnsi="仿宋" w:eastAsia="仿宋" w:cs="仿宋"/>
                <w:color w:val="auto"/>
                <w:szCs w:val="21"/>
              </w:rPr>
            </w:pPr>
          </w:p>
        </w:tc>
      </w:tr>
    </w:tbl>
    <w:p w14:paraId="4524F227">
      <w:pPr>
        <w:spacing w:line="288" w:lineRule="auto"/>
        <w:rPr>
          <w:rFonts w:hint="eastAsia" w:ascii="仿宋" w:hAnsi="仿宋" w:eastAsia="仿宋" w:cs="仿宋"/>
          <w:color w:val="auto"/>
          <w:szCs w:val="21"/>
        </w:rPr>
      </w:pPr>
      <w:r>
        <w:rPr>
          <w:rFonts w:hint="eastAsia" w:ascii="仿宋" w:hAnsi="仿宋" w:eastAsia="仿宋" w:cs="仿宋"/>
          <w:color w:val="auto"/>
          <w:szCs w:val="21"/>
        </w:rPr>
        <w:t>附：1. 此表由学生本人填写，一</w:t>
      </w:r>
      <w:r>
        <w:rPr>
          <w:rFonts w:ascii="仿宋" w:hAnsi="仿宋" w:eastAsia="仿宋" w:cs="仿宋"/>
          <w:color w:val="auto"/>
          <w:szCs w:val="21"/>
        </w:rPr>
        <w:t>式两份，一份交</w:t>
      </w:r>
      <w:r>
        <w:rPr>
          <w:rFonts w:hint="eastAsia" w:ascii="仿宋" w:hAnsi="仿宋" w:eastAsia="仿宋" w:cs="仿宋"/>
          <w:color w:val="auto"/>
          <w:szCs w:val="21"/>
        </w:rPr>
        <w:t>报名所在学院，本人留存一份；</w:t>
      </w:r>
    </w:p>
    <w:p w14:paraId="737AC34B">
      <w:pPr>
        <w:numPr>
          <w:ilvl w:val="0"/>
          <w:numId w:val="1"/>
        </w:numPr>
        <w:spacing w:line="288"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请将高考成绩查询界面截图附后。</w:t>
      </w:r>
    </w:p>
    <w:p w14:paraId="7AF84FC2">
      <w:pPr>
        <w:numPr>
          <w:ilvl w:val="0"/>
          <w:numId w:val="1"/>
        </w:numPr>
        <w:spacing w:line="288" w:lineRule="auto"/>
        <w:ind w:firstLine="422" w:firstLineChars="200"/>
        <w:rPr>
          <w:rFonts w:hint="eastAsia" w:ascii="仿宋" w:hAnsi="仿宋" w:eastAsia="仿宋" w:cs="仿宋"/>
          <w:b/>
          <w:bCs/>
          <w:color w:val="auto"/>
          <w:szCs w:val="21"/>
          <w:u w:val="single"/>
        </w:rPr>
      </w:pPr>
      <w:r>
        <w:rPr>
          <w:rFonts w:hint="eastAsia" w:ascii="仿宋" w:hAnsi="仿宋" w:eastAsia="仿宋" w:cs="仿宋"/>
          <w:b/>
          <w:bCs/>
          <w:color w:val="auto"/>
          <w:szCs w:val="21"/>
          <w:u w:val="single"/>
        </w:rPr>
        <w:t>每名学生仅可选择报名一个遴选专业（班级），经审查发现重复报名的，取消其资格</w:t>
      </w:r>
      <w:r>
        <w:rPr>
          <w:rFonts w:hint="eastAsia" w:ascii="仿宋" w:hAnsi="仿宋" w:eastAsia="仿宋" w:cs="仿宋"/>
          <w:b/>
          <w:bCs/>
          <w:color w:val="auto"/>
          <w:szCs w:val="21"/>
          <w:u w:val="singl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851"/>
    <w:rsid w:val="004D6A4D"/>
    <w:rsid w:val="0056008F"/>
    <w:rsid w:val="006E6851"/>
    <w:rsid w:val="008C3244"/>
    <w:rsid w:val="00EB6808"/>
    <w:rsid w:val="034C10ED"/>
    <w:rsid w:val="14F60163"/>
    <w:rsid w:val="1C7551CE"/>
    <w:rsid w:val="1D63739B"/>
    <w:rsid w:val="265832F6"/>
    <w:rsid w:val="3E6A09D7"/>
    <w:rsid w:val="473D1F24"/>
    <w:rsid w:val="48CD3157"/>
    <w:rsid w:val="61B70627"/>
    <w:rsid w:val="61BE7499"/>
    <w:rsid w:val="7D880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link w:val="15"/>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spacing w:beforeAutospacing="1" w:afterAutospacing="1"/>
      <w:jc w:val="left"/>
      <w:outlineLvl w:val="2"/>
    </w:pPr>
    <w:rPr>
      <w:rFonts w:hint="eastAsia" w:ascii="宋体" w:hAnsi="宋体"/>
      <w:b/>
      <w:bCs/>
      <w:kern w:val="0"/>
      <w:sz w:val="27"/>
      <w:szCs w:val="27"/>
    </w:rPr>
  </w:style>
  <w:style w:type="paragraph" w:styleId="4">
    <w:name w:val="heading 4"/>
    <w:basedOn w:val="1"/>
    <w:next w:val="1"/>
    <w:qFormat/>
    <w:uiPriority w:val="0"/>
    <w:pPr>
      <w:spacing w:beforeAutospacing="1" w:afterAutospacing="1"/>
      <w:jc w:val="left"/>
      <w:outlineLvl w:val="3"/>
    </w:pPr>
    <w:rPr>
      <w:rFonts w:hint="eastAsia" w:ascii="宋体" w:hAnsi="宋体"/>
      <w:b/>
      <w:bCs/>
      <w:kern w:val="0"/>
      <w:sz w:val="24"/>
    </w:rPr>
  </w:style>
  <w:style w:type="paragraph" w:styleId="5">
    <w:name w:val="heading 5"/>
    <w:basedOn w:val="1"/>
    <w:next w:val="1"/>
    <w:qFormat/>
    <w:uiPriority w:val="0"/>
    <w:pPr>
      <w:spacing w:beforeAutospacing="1" w:afterAutospacing="1"/>
      <w:jc w:val="left"/>
      <w:outlineLvl w:val="4"/>
    </w:pPr>
    <w:rPr>
      <w:rFonts w:hint="eastAsia" w:ascii="宋体" w:hAnsi="宋体"/>
      <w:b/>
      <w:bCs/>
      <w:kern w:val="0"/>
      <w:sz w:val="20"/>
      <w:szCs w:val="20"/>
    </w:rPr>
  </w:style>
  <w:style w:type="paragraph" w:styleId="6">
    <w:name w:val="heading 6"/>
    <w:basedOn w:val="1"/>
    <w:next w:val="1"/>
    <w:link w:val="16"/>
    <w:semiHidden/>
    <w:unhideWhenUsed/>
    <w:qFormat/>
    <w:uiPriority w:val="0"/>
    <w:pPr>
      <w:keepNext/>
      <w:keepLines/>
      <w:spacing w:before="240" w:after="64" w:line="317" w:lineRule="auto"/>
      <w:outlineLvl w:val="5"/>
    </w:pPr>
    <w:rPr>
      <w:rFonts w:ascii="Arial" w:hAnsi="Arial" w:eastAsia="黑体"/>
      <w:b/>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Normal (Web)"/>
    <w:basedOn w:val="1"/>
    <w:qFormat/>
    <w:uiPriority w:val="0"/>
    <w:pPr>
      <w:spacing w:beforeAutospacing="1" w:afterAutospacing="1"/>
      <w:jc w:val="left"/>
    </w:pPr>
    <w:rPr>
      <w:kern w:val="0"/>
      <w:sz w:val="24"/>
    </w:r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character" w:styleId="14">
    <w:name w:val="HTML Code"/>
    <w:basedOn w:val="10"/>
    <w:qFormat/>
    <w:uiPriority w:val="0"/>
    <w:rPr>
      <w:rFonts w:ascii="Courier New" w:hAnsi="Courier New"/>
      <w:sz w:val="20"/>
    </w:rPr>
  </w:style>
  <w:style w:type="character" w:customStyle="1" w:styleId="15">
    <w:name w:val="标题 1 字符"/>
    <w:link w:val="2"/>
    <w:qFormat/>
    <w:uiPriority w:val="0"/>
    <w:rPr>
      <w:b/>
      <w:kern w:val="44"/>
      <w:sz w:val="44"/>
    </w:rPr>
  </w:style>
  <w:style w:type="character" w:customStyle="1" w:styleId="16">
    <w:name w:val="标题 6 字符"/>
    <w:link w:val="6"/>
    <w:qFormat/>
    <w:uiPriority w:val="0"/>
    <w:rPr>
      <w:rFonts w:ascii="Arial" w:hAnsi="Arial" w:eastAsia="黑体"/>
      <w:b/>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3112</Words>
  <Characters>3417</Characters>
  <Lines>133</Lines>
  <Paragraphs>109</Paragraphs>
  <TotalTime>40</TotalTime>
  <ScaleCrop>false</ScaleCrop>
  <LinksUpToDate>false</LinksUpToDate>
  <CharactersWithSpaces>3477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2025-08-26T22:44:00Z</dcterms:created>
  <dc:creator>李倩</dc:creator>
  <cp:lastModifiedBy>51178</cp:lastModifiedBy>
  <dcterms:modified xsi:type="dcterms:W3CDTF">2025-09-05T06:07:18Z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99481AA26E5A4CF1824A421832636480_13</vt:lpwstr>
  </property>
  <property fmtid="{D5CDD505-2E9C-101B-9397-08002B2CF9AE}" pid="4" name="KSOTemplateDocerSaveRecord">
    <vt:lpwstr>eyJoZGlkIjoiMTczYTU4ZDg4ZWY4M2RkNmY3NDkzNjViYzA1ZGYxYzYiLCJ1c2VySWQiOiIyODAzNzcxMDcifQ==</vt:lpwstr>
  </property>
</Properties>
</file>