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69AEA">
      <w:pPr>
        <w:spacing w:before="65" w:line="224" w:lineRule="auto"/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r>
        <w:rPr>
          <w:rFonts w:ascii="黑体" w:hAnsi="黑体" w:eastAsia="黑体" w:cs="黑体"/>
          <w:b/>
          <w:bCs/>
          <w:spacing w:val="6"/>
          <w:sz w:val="22"/>
          <w:szCs w:val="22"/>
        </w:rPr>
        <w:t>附件</w:t>
      </w:r>
      <w:r>
        <w:rPr>
          <w:rFonts w:hint="eastAsia" w:ascii="黑体" w:hAnsi="黑体" w:eastAsia="黑体" w:cs="黑体"/>
          <w:b/>
          <w:bCs/>
          <w:spacing w:val="6"/>
          <w:sz w:val="22"/>
          <w:szCs w:val="22"/>
          <w:lang w:val="en-US" w:eastAsia="zh-CN"/>
        </w:rPr>
        <w:t>4</w:t>
      </w:r>
    </w:p>
    <w:p w14:paraId="07326ADE">
      <w:pPr>
        <w:spacing w:before="96" w:line="220" w:lineRule="auto"/>
        <w:rPr>
          <w:rFonts w:hint="eastAsia" w:ascii="宋体" w:hAnsi="宋体" w:eastAsia="宋体" w:cs="宋体"/>
          <w:b/>
          <w:bCs/>
          <w:spacing w:val="-12"/>
          <w:sz w:val="23"/>
          <w:szCs w:val="23"/>
          <w:lang w:val="en-US" w:eastAsia="zh-CN"/>
        </w:rPr>
      </w:pPr>
    </w:p>
    <w:p w14:paraId="2B8E1FFA">
      <w:pPr>
        <w:spacing w:before="96" w:line="22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2"/>
          <w:sz w:val="32"/>
          <w:szCs w:val="32"/>
          <w:lang w:val="en-US" w:eastAsia="zh-CN"/>
        </w:rPr>
        <w:t>课程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-12"/>
          <w:sz w:val="32"/>
          <w:szCs w:val="32"/>
        </w:rPr>
        <w:t>初选标准</w:t>
      </w:r>
    </w:p>
    <w:p w14:paraId="56AB251E">
      <w:pPr>
        <w:spacing w:before="192"/>
      </w:pPr>
    </w:p>
    <w:tbl>
      <w:tblPr>
        <w:tblStyle w:val="5"/>
        <w:tblpPr w:leftFromText="180" w:rightFromText="180" w:vertAnchor="text" w:horzAnchor="page" w:tblpX="2322" w:tblpY="35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5615"/>
        <w:gridCol w:w="801"/>
      </w:tblGrid>
      <w:tr w14:paraId="6C36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503" w:type="dxa"/>
            <w:noWrap w:val="0"/>
            <w:vAlign w:val="top"/>
          </w:tcPr>
          <w:p w14:paraId="3E92935E">
            <w:pPr>
              <w:pStyle w:val="4"/>
              <w:spacing w:before="90" w:line="219" w:lineRule="auto"/>
              <w:ind w:left="87"/>
            </w:pPr>
            <w:r>
              <w:rPr>
                <w:b/>
                <w:bCs/>
                <w:spacing w:val="-4"/>
              </w:rPr>
              <w:t>评分内容</w:t>
            </w:r>
          </w:p>
        </w:tc>
        <w:tc>
          <w:tcPr>
            <w:tcW w:w="5615" w:type="dxa"/>
            <w:noWrap w:val="0"/>
            <w:vAlign w:val="top"/>
          </w:tcPr>
          <w:p w14:paraId="7BAD604D">
            <w:pPr>
              <w:pStyle w:val="4"/>
              <w:spacing w:before="93" w:line="221" w:lineRule="auto"/>
              <w:ind w:left="1634"/>
            </w:pPr>
            <w:r>
              <w:rPr>
                <w:b/>
                <w:bCs/>
                <w:spacing w:val="-5"/>
              </w:rPr>
              <w:t>描述</w:t>
            </w:r>
          </w:p>
        </w:tc>
        <w:tc>
          <w:tcPr>
            <w:tcW w:w="801" w:type="dxa"/>
            <w:noWrap w:val="0"/>
            <w:vAlign w:val="top"/>
          </w:tcPr>
          <w:p w14:paraId="15D58C37">
            <w:pPr>
              <w:pStyle w:val="4"/>
              <w:spacing w:before="90" w:line="219" w:lineRule="auto"/>
              <w:ind w:left="62"/>
            </w:pPr>
            <w:r>
              <w:rPr>
                <w:b/>
                <w:bCs/>
                <w:spacing w:val="-4"/>
              </w:rPr>
              <w:t>权重</w:t>
            </w:r>
          </w:p>
        </w:tc>
      </w:tr>
      <w:tr w14:paraId="1B20C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1503" w:type="dxa"/>
            <w:noWrap w:val="0"/>
            <w:vAlign w:val="top"/>
          </w:tcPr>
          <w:p w14:paraId="279DA91F">
            <w:pPr>
              <w:pStyle w:val="4"/>
              <w:spacing w:before="298" w:line="220" w:lineRule="auto"/>
              <w:ind w:left="85"/>
            </w:pPr>
            <w:r>
              <w:rPr>
                <w:spacing w:val="-2"/>
              </w:rPr>
              <w:t>课程目标</w:t>
            </w:r>
          </w:p>
        </w:tc>
        <w:tc>
          <w:tcPr>
            <w:tcW w:w="5615" w:type="dxa"/>
            <w:noWrap w:val="0"/>
            <w:vAlign w:val="top"/>
          </w:tcPr>
          <w:p w14:paraId="20394FF5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明确阐述教学目标和预期效果，对应国家、 行业和专业需求，符合中小企业发展和人  才培养规律，达成路径清晰。</w:t>
            </w:r>
          </w:p>
        </w:tc>
        <w:tc>
          <w:tcPr>
            <w:tcW w:w="801" w:type="dxa"/>
            <w:noWrap w:val="0"/>
            <w:vAlign w:val="top"/>
          </w:tcPr>
          <w:p w14:paraId="37C395B0">
            <w:pPr>
              <w:spacing w:line="282" w:lineRule="auto"/>
              <w:rPr>
                <w:rFonts w:ascii="Arial"/>
                <w:sz w:val="21"/>
              </w:rPr>
            </w:pPr>
          </w:p>
          <w:p w14:paraId="09B354A0">
            <w:pPr>
              <w:pStyle w:val="4"/>
              <w:spacing w:before="65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378A1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503" w:type="dxa"/>
            <w:vMerge w:val="restart"/>
            <w:tcBorders>
              <w:bottom w:val="nil"/>
            </w:tcBorders>
            <w:noWrap w:val="0"/>
            <w:vAlign w:val="top"/>
          </w:tcPr>
          <w:p w14:paraId="1B67D04F">
            <w:pPr>
              <w:spacing w:line="354" w:lineRule="auto"/>
              <w:rPr>
                <w:rFonts w:ascii="Arial"/>
                <w:sz w:val="21"/>
              </w:rPr>
            </w:pPr>
          </w:p>
          <w:p w14:paraId="7AB6E569">
            <w:pPr>
              <w:spacing w:line="355" w:lineRule="auto"/>
              <w:rPr>
                <w:rFonts w:ascii="Arial"/>
                <w:sz w:val="21"/>
              </w:rPr>
            </w:pPr>
          </w:p>
          <w:p w14:paraId="2DD8B23A">
            <w:pPr>
              <w:pStyle w:val="4"/>
              <w:spacing w:before="65" w:line="219" w:lineRule="auto"/>
              <w:ind w:left="85"/>
            </w:pPr>
            <w:r>
              <w:rPr>
                <w:spacing w:val="-2"/>
              </w:rPr>
              <w:t>课程内容</w:t>
            </w:r>
          </w:p>
        </w:tc>
        <w:tc>
          <w:tcPr>
            <w:tcW w:w="5615" w:type="dxa"/>
            <w:noWrap w:val="0"/>
            <w:vAlign w:val="top"/>
          </w:tcPr>
          <w:p w14:paraId="520499C5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信息准确，能提供可用、可靠的知识与技 能。</w:t>
            </w:r>
          </w:p>
        </w:tc>
        <w:tc>
          <w:tcPr>
            <w:tcW w:w="801" w:type="dxa"/>
            <w:noWrap w:val="0"/>
            <w:vAlign w:val="top"/>
          </w:tcPr>
          <w:p w14:paraId="27872A0E">
            <w:pPr>
              <w:pStyle w:val="4"/>
              <w:spacing w:before="219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7B423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50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44C0A2">
            <w:pPr>
              <w:rPr>
                <w:rFonts w:ascii="Arial"/>
                <w:sz w:val="21"/>
              </w:rPr>
            </w:pPr>
          </w:p>
        </w:tc>
        <w:tc>
          <w:tcPr>
            <w:tcW w:w="5615" w:type="dxa"/>
            <w:noWrap w:val="0"/>
            <w:vAlign w:val="top"/>
          </w:tcPr>
          <w:p w14:paraId="6914EDEF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有良好的结构和逻辑，便于受众对象清晰地理解所学内容。</w:t>
            </w:r>
          </w:p>
        </w:tc>
        <w:tc>
          <w:tcPr>
            <w:tcW w:w="801" w:type="dxa"/>
            <w:noWrap w:val="0"/>
            <w:vAlign w:val="top"/>
          </w:tcPr>
          <w:p w14:paraId="7D425FD0">
            <w:pPr>
              <w:pStyle w:val="4"/>
              <w:spacing w:before="250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357F6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503" w:type="dxa"/>
            <w:vMerge w:val="continue"/>
            <w:tcBorders>
              <w:top w:val="nil"/>
            </w:tcBorders>
            <w:noWrap w:val="0"/>
            <w:vAlign w:val="top"/>
          </w:tcPr>
          <w:p w14:paraId="0C238D07">
            <w:pPr>
              <w:rPr>
                <w:rFonts w:ascii="Arial"/>
                <w:sz w:val="21"/>
              </w:rPr>
            </w:pPr>
          </w:p>
        </w:tc>
        <w:tc>
          <w:tcPr>
            <w:tcW w:w="5615" w:type="dxa"/>
            <w:noWrap w:val="0"/>
            <w:vAlign w:val="top"/>
          </w:tcPr>
          <w:p w14:paraId="2525464C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体现前沿性和实效性，能提供实用的解决方案和实践经验。</w:t>
            </w:r>
          </w:p>
        </w:tc>
        <w:tc>
          <w:tcPr>
            <w:tcW w:w="801" w:type="dxa"/>
            <w:noWrap w:val="0"/>
            <w:vAlign w:val="top"/>
          </w:tcPr>
          <w:p w14:paraId="310FF2B0">
            <w:pPr>
              <w:pStyle w:val="4"/>
              <w:spacing w:before="251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37DFD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03" w:type="dxa"/>
            <w:vMerge w:val="restart"/>
            <w:tcBorders>
              <w:bottom w:val="nil"/>
            </w:tcBorders>
            <w:noWrap w:val="0"/>
            <w:vAlign w:val="top"/>
          </w:tcPr>
          <w:p w14:paraId="068150BF">
            <w:pPr>
              <w:spacing w:line="245" w:lineRule="auto"/>
              <w:rPr>
                <w:rFonts w:ascii="Arial"/>
                <w:sz w:val="21"/>
              </w:rPr>
            </w:pPr>
          </w:p>
          <w:p w14:paraId="601C0149">
            <w:pPr>
              <w:spacing w:line="245" w:lineRule="auto"/>
              <w:rPr>
                <w:rFonts w:ascii="Arial"/>
                <w:sz w:val="21"/>
              </w:rPr>
            </w:pPr>
          </w:p>
          <w:p w14:paraId="7A227634">
            <w:pPr>
              <w:spacing w:line="245" w:lineRule="auto"/>
              <w:rPr>
                <w:rFonts w:ascii="Arial"/>
                <w:sz w:val="21"/>
              </w:rPr>
            </w:pPr>
          </w:p>
          <w:p w14:paraId="0AE3304D">
            <w:pPr>
              <w:spacing w:line="246" w:lineRule="auto"/>
              <w:rPr>
                <w:rFonts w:ascii="Arial"/>
                <w:sz w:val="21"/>
              </w:rPr>
            </w:pPr>
          </w:p>
          <w:p w14:paraId="5A245D7C">
            <w:pPr>
              <w:pStyle w:val="4"/>
              <w:spacing w:before="65" w:line="219" w:lineRule="auto"/>
              <w:ind w:left="85"/>
            </w:pPr>
            <w:r>
              <w:rPr>
                <w:spacing w:val="-2"/>
              </w:rPr>
              <w:t>教学方法</w:t>
            </w:r>
          </w:p>
        </w:tc>
        <w:tc>
          <w:tcPr>
            <w:tcW w:w="5615" w:type="dxa"/>
            <w:noWrap w:val="0"/>
            <w:vAlign w:val="top"/>
          </w:tcPr>
          <w:p w14:paraId="32D079AC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根据不同行业类型和企业发展不同阶段， 教学方法多样化，能引发受众对象深入思 考。</w:t>
            </w:r>
          </w:p>
        </w:tc>
        <w:tc>
          <w:tcPr>
            <w:tcW w:w="801" w:type="dxa"/>
            <w:noWrap w:val="0"/>
            <w:vAlign w:val="top"/>
          </w:tcPr>
          <w:p w14:paraId="24EE3FC9">
            <w:pPr>
              <w:spacing w:line="285" w:lineRule="auto"/>
              <w:rPr>
                <w:rFonts w:ascii="Arial"/>
                <w:sz w:val="21"/>
              </w:rPr>
            </w:pPr>
          </w:p>
          <w:p w14:paraId="2221E02E">
            <w:pPr>
              <w:pStyle w:val="4"/>
              <w:spacing w:before="65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52A4D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150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51F15A">
            <w:pPr>
              <w:rPr>
                <w:rFonts w:ascii="Arial"/>
                <w:sz w:val="21"/>
              </w:rPr>
            </w:pPr>
          </w:p>
        </w:tc>
        <w:tc>
          <w:tcPr>
            <w:tcW w:w="5615" w:type="dxa"/>
            <w:noWrap w:val="0"/>
            <w:vAlign w:val="top"/>
          </w:tcPr>
          <w:p w14:paraId="01206827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表现形式合理，能正确使用教具辅具，使课程内容的呈现方式更具多样性、直观性 和适切性。</w:t>
            </w:r>
          </w:p>
        </w:tc>
        <w:tc>
          <w:tcPr>
            <w:tcW w:w="801" w:type="dxa"/>
            <w:noWrap w:val="0"/>
            <w:vAlign w:val="top"/>
          </w:tcPr>
          <w:p w14:paraId="0227D01D">
            <w:pPr>
              <w:spacing w:line="287" w:lineRule="auto"/>
              <w:rPr>
                <w:rFonts w:ascii="Arial"/>
                <w:sz w:val="21"/>
              </w:rPr>
            </w:pPr>
          </w:p>
          <w:p w14:paraId="746C16C7">
            <w:pPr>
              <w:pStyle w:val="4"/>
              <w:spacing w:before="65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58788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03" w:type="dxa"/>
            <w:vMerge w:val="continue"/>
            <w:tcBorders>
              <w:top w:val="nil"/>
            </w:tcBorders>
            <w:noWrap w:val="0"/>
            <w:vAlign w:val="top"/>
          </w:tcPr>
          <w:p w14:paraId="204649F3">
            <w:pPr>
              <w:rPr>
                <w:rFonts w:ascii="Arial"/>
                <w:sz w:val="21"/>
              </w:rPr>
            </w:pPr>
          </w:p>
        </w:tc>
        <w:tc>
          <w:tcPr>
            <w:tcW w:w="5615" w:type="dxa"/>
            <w:noWrap w:val="0"/>
            <w:vAlign w:val="top"/>
          </w:tcPr>
          <w:p w14:paraId="5EBE6D24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提供充分的实例示范和案例分析，具备较强的实践指导意义和可操作性。</w:t>
            </w:r>
          </w:p>
        </w:tc>
        <w:tc>
          <w:tcPr>
            <w:tcW w:w="801" w:type="dxa"/>
            <w:noWrap w:val="0"/>
            <w:vAlign w:val="top"/>
          </w:tcPr>
          <w:p w14:paraId="4C49C4B0">
            <w:pPr>
              <w:pStyle w:val="4"/>
              <w:spacing w:before="304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20879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3" w:type="dxa"/>
            <w:vMerge w:val="restart"/>
            <w:tcBorders>
              <w:bottom w:val="nil"/>
            </w:tcBorders>
            <w:noWrap w:val="0"/>
            <w:vAlign w:val="top"/>
          </w:tcPr>
          <w:p w14:paraId="373348B9">
            <w:pPr>
              <w:pStyle w:val="4"/>
              <w:spacing w:before="295" w:line="220" w:lineRule="auto"/>
              <w:ind w:left="85"/>
            </w:pPr>
            <w:r>
              <w:rPr>
                <w:spacing w:val="-2"/>
              </w:rPr>
              <w:t>视听效果</w:t>
            </w:r>
            <w:r>
              <w:rPr>
                <w:spacing w:val="5"/>
              </w:rPr>
              <w:t>和技术质</w:t>
            </w:r>
            <w:r>
              <w:t>量</w:t>
            </w:r>
          </w:p>
        </w:tc>
        <w:tc>
          <w:tcPr>
            <w:tcW w:w="5615" w:type="dxa"/>
            <w:noWrap w:val="0"/>
            <w:vAlign w:val="top"/>
          </w:tcPr>
          <w:p w14:paraId="4C4ECEBB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推行国家通用语言文字，授课语言为标准普通话。</w:t>
            </w:r>
          </w:p>
        </w:tc>
        <w:tc>
          <w:tcPr>
            <w:tcW w:w="801" w:type="dxa"/>
            <w:noWrap w:val="0"/>
            <w:vAlign w:val="top"/>
          </w:tcPr>
          <w:p w14:paraId="1F344AE8">
            <w:pPr>
              <w:pStyle w:val="4"/>
              <w:spacing w:before="265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68BAA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503" w:type="dxa"/>
            <w:vMerge w:val="continue"/>
            <w:tcBorders>
              <w:top w:val="nil"/>
            </w:tcBorders>
            <w:noWrap w:val="0"/>
            <w:vAlign w:val="top"/>
          </w:tcPr>
          <w:p w14:paraId="19CD81A1">
            <w:pPr>
              <w:rPr>
                <w:rFonts w:ascii="Arial"/>
                <w:sz w:val="21"/>
              </w:rPr>
            </w:pPr>
          </w:p>
        </w:tc>
        <w:tc>
          <w:tcPr>
            <w:tcW w:w="5615" w:type="dxa"/>
            <w:noWrap w:val="0"/>
            <w:vAlign w:val="top"/>
          </w:tcPr>
          <w:p w14:paraId="198B5DBC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视频画面和音频质量清晰、流畅，能提供良好的观看和收听体验。</w:t>
            </w:r>
          </w:p>
        </w:tc>
        <w:tc>
          <w:tcPr>
            <w:tcW w:w="801" w:type="dxa"/>
            <w:noWrap w:val="0"/>
            <w:vAlign w:val="top"/>
          </w:tcPr>
          <w:p w14:paraId="5B6D3EFE">
            <w:pPr>
              <w:pStyle w:val="4"/>
              <w:spacing w:before="276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  <w:tr w14:paraId="33265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03" w:type="dxa"/>
            <w:noWrap w:val="0"/>
            <w:vAlign w:val="top"/>
          </w:tcPr>
          <w:p w14:paraId="29909CEC">
            <w:pPr>
              <w:pStyle w:val="4"/>
              <w:spacing w:before="207" w:line="220" w:lineRule="auto"/>
              <w:ind w:left="284"/>
            </w:pPr>
            <w:r>
              <w:rPr>
                <w:spacing w:val="-3"/>
              </w:rPr>
              <w:t>其他</w:t>
            </w:r>
          </w:p>
        </w:tc>
        <w:tc>
          <w:tcPr>
            <w:tcW w:w="5615" w:type="dxa"/>
            <w:noWrap w:val="0"/>
            <w:vAlign w:val="top"/>
          </w:tcPr>
          <w:p w14:paraId="69E4C73B">
            <w:pPr>
              <w:pStyle w:val="4"/>
              <w:spacing w:before="65" w:line="219" w:lineRule="auto"/>
              <w:ind w:left="85"/>
              <w:rPr>
                <w:spacing w:val="-2"/>
              </w:rPr>
            </w:pPr>
            <w:r>
              <w:rPr>
                <w:spacing w:val="-2"/>
              </w:rPr>
              <w:t>具有较高推广价值等。</w:t>
            </w:r>
          </w:p>
        </w:tc>
        <w:tc>
          <w:tcPr>
            <w:tcW w:w="801" w:type="dxa"/>
            <w:noWrap w:val="0"/>
            <w:vAlign w:val="top"/>
          </w:tcPr>
          <w:p w14:paraId="26A4E80E">
            <w:pPr>
              <w:pStyle w:val="4"/>
              <w:spacing w:before="257" w:line="184" w:lineRule="auto"/>
              <w:ind w:left="160"/>
            </w:pPr>
            <w:r>
              <w:rPr>
                <w:spacing w:val="-6"/>
              </w:rPr>
              <w:t>10</w:t>
            </w:r>
          </w:p>
        </w:tc>
      </w:tr>
    </w:tbl>
    <w:p w14:paraId="1416D6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DI3NjlkMTFjZDk0NDg3MmYxMzIzYjc1NmNjMjcifQ=="/>
  </w:docVars>
  <w:rsids>
    <w:rsidRoot w:val="039E3779"/>
    <w:rsid w:val="039E3779"/>
    <w:rsid w:val="3EC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2024-07-12T01:31:00Z</dcterms:created>
  <dc:creator>汪长凌</dc:creator>
  <cp:lastModifiedBy>汪长凌</cp:lastModifiedBy>
  <dcterms:modified xsi:type="dcterms:W3CDTF">2024-07-12T02:10:01Z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05EB06690A834627AFFB6B87F07D967C_11</vt:lpwstr>
  </property>
</Properties>
</file>