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教学例</w:t>
      </w:r>
      <w:r>
        <w:rPr>
          <w:rFonts w:ascii="Times New Roman" w:hAnsi="Times New Roman" w:eastAsia="黑体"/>
          <w:color w:val="FF0000"/>
          <w:kern w:val="0"/>
          <w:sz w:val="96"/>
          <w:szCs w:val="84"/>
        </w:rPr>
        <w:t>会会议纪要</w:t>
      </w:r>
    </w:p>
    <w:p>
      <w:pPr>
        <w:spacing w:line="600" w:lineRule="exact"/>
        <w:rPr>
          <w:rFonts w:ascii="Times New Roman" w:hAnsi="Times New Roman" w:eastAsia="仿宋_GB2312"/>
          <w:sz w:val="32"/>
          <w:szCs w:val="32"/>
        </w:rPr>
      </w:pPr>
    </w:p>
    <w:p>
      <w:pPr>
        <w:spacing w:line="600" w:lineRule="exact"/>
        <w:jc w:val="center"/>
        <w:rPr>
          <w:rFonts w:ascii="Times New Roman" w:hAnsi="Times New Roman" w:eastAsia="仿宋"/>
          <w:sz w:val="32"/>
          <w:szCs w:val="32"/>
        </w:rPr>
      </w:pPr>
      <w:r>
        <w:rPr>
          <w:rFonts w:ascii="Times New Roman" w:hAnsi="Times New Roman" w:eastAsia="仿宋"/>
          <w:sz w:val="32"/>
          <w:szCs w:val="32"/>
        </w:rPr>
        <w:t>（20</w:t>
      </w:r>
      <w:r>
        <w:rPr>
          <w:rFonts w:hint="eastAsia" w:ascii="Times New Roman" w:hAnsi="Times New Roman" w:eastAsia="仿宋"/>
          <w:sz w:val="32"/>
          <w:szCs w:val="32"/>
        </w:rPr>
        <w:t>21</w:t>
      </w:r>
      <w:r>
        <w:rPr>
          <w:rFonts w:ascii="Times New Roman" w:hAnsi="Times New Roman" w:eastAsia="仿宋"/>
          <w:sz w:val="32"/>
          <w:szCs w:val="32"/>
        </w:rPr>
        <w:t>）第</w:t>
      </w:r>
      <w:r>
        <w:rPr>
          <w:rFonts w:hint="eastAsia" w:ascii="Times New Roman" w:hAnsi="Times New Roman" w:eastAsia="仿宋"/>
          <w:sz w:val="32"/>
          <w:szCs w:val="32"/>
          <w:lang w:val="en-US" w:eastAsia="zh-CN"/>
        </w:rPr>
        <w:t>6</w:t>
      </w:r>
      <w:r>
        <w:rPr>
          <w:rFonts w:ascii="Times New Roman" w:hAnsi="Times New Roman" w:eastAsia="仿宋"/>
          <w:sz w:val="32"/>
          <w:szCs w:val="32"/>
        </w:rPr>
        <w:t>号</w:t>
      </w:r>
    </w:p>
    <w:p>
      <w:pPr>
        <w:spacing w:line="600" w:lineRule="exact"/>
        <w:rPr>
          <w:rFonts w:ascii="Times New Roman" w:hAnsi="Times New Roman" w:eastAsia="仿宋"/>
          <w:sz w:val="32"/>
          <w:szCs w:val="32"/>
        </w:rPr>
      </w:pPr>
    </w:p>
    <w:p>
      <w:pPr>
        <w:spacing w:line="600" w:lineRule="exact"/>
        <w:jc w:val="center"/>
        <w:rPr>
          <w:rFonts w:ascii="Times New Roman" w:hAnsi="Times New Roman" w:eastAsia="仿宋"/>
          <w:kern w:val="0"/>
          <w:sz w:val="32"/>
          <w:szCs w:val="32"/>
        </w:rPr>
      </w:pPr>
      <w:r>
        <w:rPr>
          <w:rFonts w:hint="eastAsia" w:ascii="Times New Roman" w:hAnsi="Times New Roman" w:eastAsia="仿宋"/>
          <w:sz w:val="32"/>
          <w:szCs w:val="32"/>
        </w:rPr>
        <w:t>教务处</w:t>
      </w:r>
      <w:r>
        <w:rPr>
          <w:rFonts w:ascii="Times New Roman" w:hAnsi="Times New Roman" w:eastAsia="仿宋"/>
          <w:sz w:val="32"/>
          <w:szCs w:val="32"/>
        </w:rPr>
        <w:t xml:space="preserve">           </w:t>
      </w:r>
      <w:r>
        <w:rPr>
          <w:rFonts w:hint="eastAsia" w:ascii="Times New Roman" w:hAnsi="Times New Roman" w:eastAsia="仿宋"/>
          <w:sz w:val="32"/>
          <w:szCs w:val="32"/>
        </w:rPr>
        <w:t xml:space="preserve"> </w:t>
      </w:r>
      <w:r>
        <w:rPr>
          <w:rFonts w:ascii="Times New Roman" w:hAnsi="Times New Roman" w:eastAsia="仿宋"/>
          <w:sz w:val="32"/>
          <w:szCs w:val="32"/>
        </w:rPr>
        <w:t xml:space="preserve">           20</w:t>
      </w:r>
      <w:r>
        <w:rPr>
          <w:rFonts w:hint="eastAsia" w:ascii="Times New Roman" w:hAnsi="Times New Roman" w:eastAsia="仿宋"/>
          <w:sz w:val="32"/>
          <w:szCs w:val="32"/>
        </w:rPr>
        <w:t>21</w:t>
      </w:r>
      <w:r>
        <w:rPr>
          <w:rFonts w:ascii="Times New Roman" w:hAnsi="Times New Roman" w:eastAsia="仿宋"/>
          <w:sz w:val="32"/>
          <w:szCs w:val="32"/>
        </w:rPr>
        <w:t>年</w:t>
      </w:r>
      <w:r>
        <w:rPr>
          <w:rFonts w:hint="eastAsia" w:ascii="Times New Roman" w:hAnsi="Times New Roman" w:eastAsia="仿宋"/>
          <w:sz w:val="32"/>
          <w:szCs w:val="32"/>
          <w:lang w:val="en-US" w:eastAsia="zh-CN"/>
        </w:rPr>
        <w:t>10</w:t>
      </w:r>
      <w:r>
        <w:rPr>
          <w:rFonts w:ascii="Times New Roman" w:hAnsi="Times New Roman" w:eastAsia="仿宋"/>
          <w:sz w:val="32"/>
          <w:szCs w:val="32"/>
        </w:rPr>
        <w:t>月</w:t>
      </w:r>
      <w:r>
        <w:rPr>
          <w:rFonts w:hint="eastAsia" w:ascii="Times New Roman" w:hAnsi="Times New Roman" w:eastAsia="仿宋"/>
          <w:sz w:val="32"/>
          <w:szCs w:val="32"/>
          <w:lang w:val="en-US" w:eastAsia="zh-CN"/>
        </w:rPr>
        <w:t>29</w:t>
      </w:r>
      <w:r>
        <w:rPr>
          <w:rFonts w:ascii="Times New Roman" w:hAnsi="Times New Roman" w:eastAsia="仿宋"/>
          <w:sz w:val="32"/>
          <w:szCs w:val="32"/>
        </w:rPr>
        <w:t>日</w:t>
      </w:r>
    </w:p>
    <w:p>
      <w:pPr>
        <w:widowControl/>
        <w:spacing w:line="262" w:lineRule="atLeast"/>
        <w:jc w:val="left"/>
        <w:rPr>
          <w:rFonts w:ascii="Times New Roman" w:hAnsi="Times New Roman" w:eastAsia="仿宋"/>
          <w:sz w:val="32"/>
        </w:rPr>
      </w:pPr>
      <w:r>
        <w:rPr>
          <w:rFonts w:ascii="Times New Roman" w:hAnsi="Times New Roman" w:eastAsia="仿宋"/>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RN5MyfIBAADnAwAADgAAAGRycy9lMm9Eb2MueG1srVPNjtMw&#10;EL4j8Q6W7zTZqEUoarqHLeWCoBLwAFPbaSz5Tx5v074EL4DEDU4cufM2LI/BOMmWZbn0QA7OjD3z&#10;zXyfx8vrozXsoCJq7xp+NSs5U054qd2+4R/eb5694AwTOAnGO9Xwk0J+vXr6ZNmHWlW+80aqyAjE&#10;Yd2HhncphbooUHTKAs58UI4OWx8tJHLjvpARekK3pqjK8nnR+yhD9EIh0u56POQTYrwE0LetFmrt&#10;xa1VLo2oURlIRAk7HZCvhm7bVon0tm1RJWYaTkzTsFIRsnd5LVZLqPcRQqfF1AJc0sIjTha0o6Jn&#10;qDUkYLdR/wNltYgefZtmwttiJDIoQiyuykfavOsgqIELSY3hLDr+P1jx5rCNTMuGV5w5sHThd5++&#10;//z45dePz7TeffvKqixSH7Cm2Bu3jZOHYRsz42Mbbf4TF3YchD2dhVXHxARtLubVYj4nzcX9WfEn&#10;MURMr5S3LBsNN9plzlDD4TUmKkah9yF52zjWU7f0LQgPaAJbunkybSAW6PZDMnqj5UYbk1Mw7nc3&#10;JrID0BRsNiV9mRMB/xWWq6wBuzFuOBrno1MgXzrJ0imQPo6eBc89WCU5M4peUbYIEOoE2lwSSaWN&#10;ywlqmNGJaBZ5lDVbOy9Pg9pF9uj+h46nWc0D9tAn++H7X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x/Fl9UAAAAGAQAADwAAAAAAAAABACAAAAAiAAAAZHJzL2Rvd25yZXYueG1sUEsBAhQAFAAA&#10;AAgAh07iQETeTMnyAQAA5wMAAA4AAAAAAAAAAQAgAAAAJAEAAGRycy9lMm9Eb2MueG1sUEsFBgAA&#10;AAAGAAYAWQEAAIgFAAAAAA==&#10;">
                <v:fill on="f" focussize="0,0"/>
                <v:stroke weight="1.75pt" color="#FF0000" joinstyle="round"/>
                <v:imagedata o:title=""/>
                <o:lock v:ext="edit" aspectratio="f"/>
              </v:line>
            </w:pict>
          </mc:Fallback>
        </mc:AlternateConten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10</w:t>
      </w:r>
      <w:r>
        <w:rPr>
          <w:rFonts w:ascii="仿宋" w:hAnsi="仿宋" w:eastAsia="仿宋"/>
          <w:sz w:val="32"/>
          <w:szCs w:val="32"/>
        </w:rPr>
        <w:t>月</w:t>
      </w:r>
      <w:r>
        <w:rPr>
          <w:rFonts w:hint="eastAsia" w:ascii="仿宋" w:hAnsi="仿宋" w:eastAsia="仿宋"/>
          <w:sz w:val="32"/>
          <w:szCs w:val="32"/>
          <w:lang w:val="en-US" w:eastAsia="zh-CN"/>
        </w:rPr>
        <w:t>28</w:t>
      </w:r>
      <w:r>
        <w:rPr>
          <w:rFonts w:ascii="仿宋" w:hAnsi="仿宋" w:eastAsia="仿宋"/>
          <w:sz w:val="32"/>
          <w:szCs w:val="32"/>
        </w:rPr>
        <w:t>日</w:t>
      </w:r>
      <w:r>
        <w:rPr>
          <w:rFonts w:hint="eastAsia" w:ascii="仿宋" w:hAnsi="仿宋" w:eastAsia="仿宋"/>
          <w:sz w:val="32"/>
          <w:szCs w:val="32"/>
        </w:rPr>
        <w:t>上午</w:t>
      </w:r>
      <w:r>
        <w:rPr>
          <w:rFonts w:ascii="仿宋" w:hAnsi="仿宋" w:eastAsia="仿宋"/>
          <w:sz w:val="32"/>
          <w:szCs w:val="32"/>
        </w:rPr>
        <w:t>，</w:t>
      </w:r>
      <w:r>
        <w:rPr>
          <w:rFonts w:hint="eastAsia" w:ascii="仿宋" w:hAnsi="仿宋" w:eastAsia="仿宋"/>
          <w:sz w:val="32"/>
          <w:szCs w:val="32"/>
        </w:rPr>
        <w:t>在</w:t>
      </w:r>
      <w:r>
        <w:rPr>
          <w:rFonts w:hint="eastAsia" w:ascii="仿宋" w:hAnsi="仿宋" w:eastAsia="仿宋"/>
          <w:sz w:val="32"/>
          <w:szCs w:val="32"/>
          <w:lang w:val="en-US" w:eastAsia="zh-CN"/>
        </w:rPr>
        <w:t>J2-207</w:t>
      </w:r>
      <w:r>
        <w:rPr>
          <w:rFonts w:hint="eastAsia" w:ascii="仿宋" w:hAnsi="仿宋" w:eastAsia="仿宋"/>
          <w:sz w:val="32"/>
          <w:szCs w:val="32"/>
        </w:rPr>
        <w:t>召</w:t>
      </w:r>
      <w:r>
        <w:rPr>
          <w:rFonts w:ascii="仿宋" w:hAnsi="仿宋" w:eastAsia="仿宋"/>
          <w:sz w:val="32"/>
          <w:szCs w:val="32"/>
        </w:rPr>
        <w:t>开</w:t>
      </w:r>
      <w:r>
        <w:rPr>
          <w:rFonts w:hint="eastAsia" w:ascii="仿宋" w:hAnsi="仿宋" w:eastAsia="仿宋"/>
          <w:sz w:val="32"/>
          <w:szCs w:val="32"/>
          <w:lang w:eastAsia="zh-CN"/>
        </w:rPr>
        <w:t>了</w:t>
      </w: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21</w:t>
      </w:r>
      <w:r>
        <w:rPr>
          <w:rFonts w:ascii="仿宋" w:hAnsi="仿宋" w:eastAsia="仿宋"/>
          <w:sz w:val="32"/>
          <w:szCs w:val="32"/>
        </w:rPr>
        <w:t>年</w:t>
      </w:r>
      <w:r>
        <w:rPr>
          <w:rFonts w:hint="eastAsia" w:ascii="仿宋" w:hAnsi="仿宋" w:eastAsia="仿宋"/>
          <w:sz w:val="32"/>
          <w:szCs w:val="32"/>
        </w:rPr>
        <w:t>度</w:t>
      </w:r>
      <w:r>
        <w:rPr>
          <w:rFonts w:ascii="仿宋" w:hAnsi="仿宋" w:eastAsia="仿宋"/>
          <w:sz w:val="32"/>
          <w:szCs w:val="32"/>
        </w:rPr>
        <w:t>第</w:t>
      </w:r>
      <w:r>
        <w:rPr>
          <w:rFonts w:hint="eastAsia" w:ascii="仿宋" w:hAnsi="仿宋" w:eastAsia="仿宋"/>
          <w:sz w:val="32"/>
          <w:szCs w:val="32"/>
          <w:lang w:val="en-US" w:eastAsia="zh-CN"/>
        </w:rPr>
        <w:t>七</w:t>
      </w:r>
      <w:r>
        <w:rPr>
          <w:rFonts w:ascii="仿宋" w:hAnsi="仿宋" w:eastAsia="仿宋"/>
          <w:sz w:val="32"/>
          <w:szCs w:val="32"/>
        </w:rPr>
        <w:t>次</w:t>
      </w:r>
      <w:r>
        <w:rPr>
          <w:rFonts w:hint="eastAsia" w:ascii="仿宋" w:hAnsi="仿宋" w:eastAsia="仿宋"/>
          <w:sz w:val="32"/>
          <w:szCs w:val="32"/>
        </w:rPr>
        <w:t>教学委员会会</w:t>
      </w:r>
      <w:r>
        <w:rPr>
          <w:rFonts w:ascii="仿宋" w:hAnsi="仿宋" w:eastAsia="仿宋"/>
          <w:sz w:val="32"/>
          <w:szCs w:val="32"/>
        </w:rPr>
        <w:t>议</w:t>
      </w:r>
      <w:r>
        <w:rPr>
          <w:rFonts w:hint="eastAsia" w:ascii="仿宋" w:hAnsi="仿宋" w:eastAsia="仿宋"/>
          <w:sz w:val="32"/>
          <w:szCs w:val="32"/>
        </w:rPr>
        <w:t>暨</w:t>
      </w:r>
      <w:r>
        <w:rPr>
          <w:rFonts w:ascii="仿宋" w:hAnsi="仿宋" w:eastAsia="仿宋"/>
          <w:sz w:val="32"/>
          <w:szCs w:val="32"/>
        </w:rPr>
        <w:t>第</w:t>
      </w:r>
      <w:r>
        <w:rPr>
          <w:rFonts w:hint="eastAsia" w:ascii="仿宋" w:hAnsi="仿宋" w:eastAsia="仿宋"/>
          <w:sz w:val="32"/>
          <w:szCs w:val="32"/>
          <w:lang w:val="en-US" w:eastAsia="zh-CN"/>
        </w:rPr>
        <w:t>六</w:t>
      </w:r>
      <w:r>
        <w:rPr>
          <w:rFonts w:ascii="仿宋" w:hAnsi="仿宋" w:eastAsia="仿宋"/>
          <w:sz w:val="32"/>
          <w:szCs w:val="32"/>
        </w:rPr>
        <w:t>次教学工作例会</w:t>
      </w:r>
      <w:r>
        <w:rPr>
          <w:rFonts w:hint="eastAsia" w:ascii="仿宋" w:hAnsi="仿宋" w:eastAsia="仿宋"/>
          <w:sz w:val="32"/>
          <w:szCs w:val="32"/>
        </w:rPr>
        <w:t>，</w:t>
      </w:r>
      <w:r>
        <w:rPr>
          <w:rFonts w:hint="eastAsia" w:ascii="仿宋" w:hAnsi="仿宋" w:eastAsia="仿宋"/>
          <w:sz w:val="32"/>
          <w:szCs w:val="32"/>
          <w:lang w:eastAsia="zh-CN"/>
        </w:rPr>
        <w:t>教务处处长、教学委员会副主任</w:t>
      </w:r>
      <w:r>
        <w:rPr>
          <w:rFonts w:hint="eastAsia" w:ascii="仿宋" w:hAnsi="仿宋" w:eastAsia="仿宋"/>
          <w:sz w:val="32"/>
          <w:szCs w:val="32"/>
          <w:lang w:val="en-US" w:eastAsia="zh-CN"/>
        </w:rPr>
        <w:t>委员</w:t>
      </w:r>
      <w:r>
        <w:rPr>
          <w:rFonts w:hint="eastAsia" w:ascii="仿宋" w:hAnsi="仿宋" w:eastAsia="仿宋"/>
          <w:sz w:val="32"/>
          <w:szCs w:val="32"/>
          <w:lang w:eastAsia="zh-CN"/>
        </w:rPr>
        <w:t>陶前功主持会议</w:t>
      </w:r>
      <w:r>
        <w:rPr>
          <w:rFonts w:ascii="仿宋" w:hAnsi="仿宋" w:eastAsia="仿宋"/>
          <w:sz w:val="32"/>
          <w:szCs w:val="32"/>
        </w:rPr>
        <w:t>，</w:t>
      </w:r>
      <w:r>
        <w:rPr>
          <w:rFonts w:hint="eastAsia" w:ascii="仿宋" w:hAnsi="仿宋" w:eastAsia="仿宋"/>
          <w:sz w:val="32"/>
          <w:szCs w:val="32"/>
        </w:rPr>
        <w:t>副校长、教学</w:t>
      </w:r>
      <w:r>
        <w:rPr>
          <w:rFonts w:ascii="仿宋" w:hAnsi="仿宋" w:eastAsia="仿宋"/>
          <w:sz w:val="32"/>
          <w:szCs w:val="32"/>
        </w:rPr>
        <w:t>委员会</w:t>
      </w:r>
      <w:r>
        <w:rPr>
          <w:rFonts w:hint="eastAsia" w:ascii="仿宋" w:hAnsi="仿宋" w:eastAsia="仿宋"/>
          <w:sz w:val="32"/>
          <w:szCs w:val="32"/>
        </w:rPr>
        <w:t>主任委员付宏出席会议并讲话</w:t>
      </w:r>
      <w:r>
        <w:rPr>
          <w:rFonts w:ascii="仿宋" w:hAnsi="仿宋" w:eastAsia="仿宋"/>
          <w:sz w:val="32"/>
          <w:szCs w:val="32"/>
        </w:rPr>
        <w:t>。</w:t>
      </w:r>
      <w:r>
        <w:rPr>
          <w:rFonts w:hint="eastAsia" w:ascii="仿宋" w:hAnsi="仿宋" w:eastAsia="仿宋"/>
          <w:sz w:val="32"/>
          <w:szCs w:val="32"/>
          <w:lang w:eastAsia="zh-CN"/>
        </w:rPr>
        <w:t>教学委员会委员、</w:t>
      </w:r>
      <w:r>
        <w:rPr>
          <w:rFonts w:hint="eastAsia" w:ascii="仿宋" w:hAnsi="仿宋" w:eastAsia="仿宋"/>
          <w:sz w:val="32"/>
          <w:szCs w:val="32"/>
        </w:rPr>
        <w:t>学生工作处、网教中心、实验教学中心负责人、教务处副处长、各学院分管教学副院长（含继续教育学院、法商学院）、教务处各科室负责人、教学督导、</w:t>
      </w:r>
      <w:r>
        <w:rPr>
          <w:rFonts w:ascii="仿宋" w:hAnsi="仿宋" w:eastAsia="仿宋"/>
          <w:sz w:val="32"/>
          <w:szCs w:val="32"/>
        </w:rPr>
        <w:t>教学秘书参加</w:t>
      </w:r>
      <w:r>
        <w:rPr>
          <w:rFonts w:hint="eastAsia" w:ascii="仿宋" w:hAnsi="仿宋" w:eastAsia="仿宋"/>
          <w:sz w:val="32"/>
          <w:szCs w:val="32"/>
          <w:lang w:eastAsia="zh-CN"/>
        </w:rPr>
        <w:t>会议。</w:t>
      </w:r>
      <w:r>
        <w:rPr>
          <w:rFonts w:hint="eastAsia" w:ascii="仿宋" w:hAnsi="仿宋" w:eastAsia="仿宋"/>
          <w:sz w:val="32"/>
          <w:szCs w:val="32"/>
          <w:lang w:val="en-US" w:eastAsia="zh-CN"/>
        </w:rPr>
        <w:t>会前，全体与会人员前往17个课堂进行了集中听课，分别听取了经济与贸易学院、会计学院、旅游与酒店管理学院、法学院、信息与通信工程学院、体育经济与管理学院、低碳经济学院的相关课程及实验课程。会议情况</w:t>
      </w:r>
      <w:r>
        <w:rPr>
          <w:rFonts w:hint="eastAsia" w:ascii="仿宋" w:hAnsi="仿宋" w:eastAsia="仿宋"/>
          <w:sz w:val="32"/>
          <w:szCs w:val="32"/>
        </w:rPr>
        <w:t>纪要如下：</w:t>
      </w:r>
    </w:p>
    <w:p>
      <w:pPr>
        <w:numPr>
          <w:ilvl w:val="0"/>
          <w:numId w:val="1"/>
        </w:numPr>
        <w:spacing w:line="600" w:lineRule="exact"/>
        <w:ind w:left="-10" w:leftChars="0" w:firstLine="640" w:firstLineChars="0"/>
        <w:rPr>
          <w:rFonts w:hint="default" w:ascii="黑体" w:hAnsi="黑体" w:eastAsia="黑体" w:cs="黑体"/>
          <w:bCs/>
          <w:sz w:val="32"/>
          <w:szCs w:val="32"/>
          <w:lang w:val="en-US" w:eastAsia="zh-CN"/>
        </w:rPr>
      </w:pPr>
      <w:r>
        <w:rPr>
          <w:rFonts w:hint="eastAsia" w:ascii="黑体" w:hAnsi="黑体" w:eastAsia="黑体" w:cs="黑体"/>
          <w:bCs/>
          <w:sz w:val="32"/>
          <w:szCs w:val="32"/>
        </w:rPr>
        <w:t>通报</w:t>
      </w:r>
      <w:r>
        <w:rPr>
          <w:rFonts w:hint="eastAsia" w:ascii="黑体" w:hAnsi="黑体" w:eastAsia="黑体" w:cs="黑体"/>
          <w:bCs/>
          <w:sz w:val="32"/>
          <w:szCs w:val="32"/>
          <w:lang w:val="en-US" w:eastAsia="zh-CN"/>
        </w:rPr>
        <w:t>2021-2022学年第1学期第2次集中听课及2021年第5期教学督导及教务处日常巡查情况</w:t>
      </w:r>
    </w:p>
    <w:p>
      <w:p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2021第5期教学督导及教务处日常巡查（9月6日至9月30日）中，教学督导共巡查课堂462个，听课83节，教务处共巡查课堂570个，听课12节，总体教学情况良好，教学秩序井然。</w:t>
      </w:r>
    </w:p>
    <w:p>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10月7日上午，教务处组织开展2021-2022学年第1学期第2次集中听课活动，校长方洁、副校长付宏、各学院院长、教学副院长及教务处、学工处、实验中心、网教中心等部门领导参加。本次听课总体情况良好，教师教学准备充分，教学内容娴熟，教学环节设计合理，教学方式方法有效，课堂教学效果良好；学生到课率高，听讲认真，课堂气氛良好。但存在师生课堂互动有待加强和教学内容深度广度不足的问题，任课教师应重视激发学生主动思考和学习的意识，培养学生解决复杂问题的综合能力和高级思维。</w:t>
      </w:r>
    </w:p>
    <w:p>
      <w:pPr>
        <w:numPr>
          <w:ilvl w:val="0"/>
          <w:numId w:val="1"/>
        </w:numPr>
        <w:spacing w:line="600" w:lineRule="exact"/>
        <w:ind w:left="-10" w:leftChars="0" w:firstLine="640" w:firstLineChars="0"/>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布置近期主要教学工作</w:t>
      </w:r>
    </w:p>
    <w:p>
      <w:pPr>
        <w:numPr>
          <w:ilvl w:val="0"/>
          <w:numId w:val="2"/>
        </w:num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教学运行方面</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本科毕业实习工作。《关于做好2022届本科毕业实习工作的通知》已发布，请各学院充分重视，按照时间节点严格推进毕业实习工作进度，做好毕业实习方案和后续考核及成绩评定工作。</w:t>
      </w:r>
    </w:p>
    <w:p>
      <w:pPr>
        <w:numPr>
          <w:ilvl w:val="0"/>
          <w:numId w:val="3"/>
        </w:numPr>
        <w:spacing w:line="600" w:lineRule="exact"/>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2022届本科毕业论文（设计）工作。《关于做好2022届本科毕业论文（设计）工作的通知》已发布，</w:t>
      </w:r>
      <w:r>
        <w:rPr>
          <w:rFonts w:hint="eastAsia" w:ascii="仿宋" w:hAnsi="仿宋" w:eastAsia="仿宋"/>
          <w:b w:val="0"/>
          <w:bCs/>
          <w:sz w:val="32"/>
          <w:szCs w:val="32"/>
          <w:lang w:val="en-US" w:eastAsia="zh-CN"/>
        </w:rPr>
        <w:t>请各学院按照通知要求和</w:t>
      </w:r>
      <w:r>
        <w:rPr>
          <w:rFonts w:hint="eastAsia" w:ascii="仿宋" w:hAnsi="仿宋" w:eastAsia="仿宋" w:cs="仿宋"/>
          <w:b w:val="0"/>
          <w:bCs/>
          <w:sz w:val="32"/>
          <w:szCs w:val="32"/>
        </w:rPr>
        <w:t>学</w:t>
      </w:r>
      <w:r>
        <w:rPr>
          <w:rFonts w:ascii="仿宋" w:hAnsi="仿宋" w:eastAsia="仿宋" w:cs="仿宋"/>
          <w:b w:val="0"/>
          <w:bCs/>
          <w:sz w:val="32"/>
          <w:szCs w:val="32"/>
        </w:rPr>
        <w:t>校毕业论文管理规定，</w:t>
      </w:r>
      <w:r>
        <w:rPr>
          <w:rFonts w:hint="eastAsia" w:ascii="仿宋" w:hAnsi="仿宋" w:eastAsia="仿宋" w:cs="仿宋"/>
          <w:b w:val="0"/>
          <w:bCs/>
          <w:sz w:val="32"/>
          <w:szCs w:val="32"/>
          <w:lang w:val="en-US" w:eastAsia="zh-CN"/>
        </w:rPr>
        <w:t>把握好时间节点，完成好</w:t>
      </w:r>
      <w:r>
        <w:rPr>
          <w:rFonts w:hint="eastAsia" w:ascii="仿宋" w:hAnsi="仿宋" w:eastAsia="仿宋"/>
          <w:sz w:val="32"/>
          <w:szCs w:val="32"/>
          <w:lang w:val="en-US" w:eastAsia="zh-CN"/>
        </w:rPr>
        <w:t>毕业论文（设计）的指导和成绩评定工作</w:t>
      </w:r>
      <w:r>
        <w:rPr>
          <w:rFonts w:ascii="仿宋" w:hAnsi="仿宋" w:eastAsia="仿宋" w:cs="仿宋"/>
          <w:b w:val="0"/>
          <w:bCs/>
          <w:sz w:val="32"/>
          <w:szCs w:val="32"/>
        </w:rPr>
        <w:t>。</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2020-2021学年优秀教学奖评选工作。各学院要根据《关于评选2020-2021学年优秀教学奖的通知》和学校优秀教学奖评选管理办法的相关要求，严格把握评选条件和推荐名额，按照评选程序慎重推荐候选人。</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网络通识选修课程考试工作。为加强考试环节管理，今年网络通识选修课的考试全部安排在线下进行。各学院要把好考试关，要求学生重视网络通识选修课的学习。</w:t>
      </w:r>
    </w:p>
    <w:p>
      <w:pPr>
        <w:numPr>
          <w:ilvl w:val="0"/>
          <w:numId w:val="3"/>
        </w:numPr>
        <w:spacing w:line="600" w:lineRule="exact"/>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重修考试命题工作。本学期部分重修课程已经结束，可以安排考试，各学院要强调命题审题等环节的规范性，把握好命题内容的挑战度，审题环节严格把关，落实好命题审</w:t>
      </w:r>
      <w:bookmarkStart w:id="0" w:name="_GoBack"/>
      <w:bookmarkEnd w:id="0"/>
      <w:r>
        <w:rPr>
          <w:rFonts w:hint="eastAsia" w:ascii="仿宋" w:hAnsi="仿宋" w:eastAsia="仿宋"/>
          <w:sz w:val="32"/>
          <w:szCs w:val="32"/>
          <w:lang w:val="en-US" w:eastAsia="zh-CN"/>
        </w:rPr>
        <w:t>题工作责任制。</w:t>
      </w:r>
    </w:p>
    <w:p>
      <w:pPr>
        <w:numPr>
          <w:ilvl w:val="0"/>
          <w:numId w:val="2"/>
        </w:numPr>
        <w:spacing w:line="600" w:lineRule="exact"/>
        <w:ind w:firstLine="640" w:firstLineChars="200"/>
        <w:rPr>
          <w:rFonts w:ascii="仿宋" w:hAnsi="仿宋" w:eastAsia="仿宋"/>
          <w:sz w:val="32"/>
          <w:szCs w:val="32"/>
        </w:rPr>
      </w:pPr>
      <w:r>
        <w:rPr>
          <w:rFonts w:hint="eastAsia" w:ascii="仿宋" w:hAnsi="仿宋" w:eastAsia="仿宋"/>
          <w:sz w:val="32"/>
          <w:szCs w:val="32"/>
        </w:rPr>
        <w:t>教学建设与教学研究方面</w:t>
      </w:r>
    </w:p>
    <w:p>
      <w:pPr>
        <w:numPr>
          <w:ilvl w:val="0"/>
          <w:numId w:val="4"/>
        </w:numPr>
        <w:spacing w:line="600" w:lineRule="exact"/>
        <w:ind w:left="80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一流本科专业建设点申报工作。新一轮国家级一流</w:t>
      </w:r>
    </w:p>
    <w:p>
      <w:pPr>
        <w:numPr>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本科专业建设点申报工作已经开始，请各学院组织好现有省级一流本科专业建设点及本年度已申报省级一流本科专业建设点专业进一步打磨申报文本，更新数据内容，做好最后一轮冲刺准备。</w:t>
      </w:r>
    </w:p>
    <w:p>
      <w:pPr>
        <w:numPr>
          <w:ilvl w:val="0"/>
          <w:numId w:val="4"/>
        </w:numPr>
        <w:spacing w:line="600" w:lineRule="exact"/>
        <w:ind w:left="800" w:leftChars="0" w:firstLine="0" w:firstLineChars="0"/>
        <w:rPr>
          <w:rFonts w:hint="eastAsia" w:ascii="微软雅黑" w:hAnsi="微软雅黑" w:eastAsia="微软雅黑" w:cs="微软雅黑"/>
          <w:i w:val="0"/>
          <w:iCs w:val="0"/>
          <w:caps w:val="0"/>
          <w:color w:val="282828"/>
          <w:spacing w:val="0"/>
          <w:sz w:val="27"/>
          <w:szCs w:val="27"/>
          <w:lang w:eastAsia="zh-CN"/>
        </w:rPr>
      </w:pPr>
      <w:r>
        <w:rPr>
          <w:rFonts w:hint="eastAsia" w:ascii="仿宋" w:hAnsi="仿宋" w:eastAsia="仿宋"/>
          <w:sz w:val="32"/>
          <w:szCs w:val="32"/>
          <w:lang w:val="en-US" w:eastAsia="zh-CN"/>
        </w:rPr>
        <w:t>组织参与国家教育行政学院系列专题网络培训工</w:t>
      </w:r>
    </w:p>
    <w:p>
      <w:pPr>
        <w:numPr>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作。《关于组织参与国家教育行政学院系列专题网络培训的通知》已发布，培训主题包括一流专业建设、一流课程建设、基层教学组织建设等，请各学院组织参训学员认真学习，保证学习效果，完成考核要求。</w:t>
      </w:r>
    </w:p>
    <w:p>
      <w:pPr>
        <w:numPr>
          <w:ilvl w:val="0"/>
          <w:numId w:val="4"/>
        </w:numPr>
        <w:spacing w:line="600" w:lineRule="exact"/>
        <w:ind w:left="80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本科生导师考核工作。学校拟于近期开展本科生导</w:t>
      </w:r>
    </w:p>
    <w:p>
      <w:pPr>
        <w:numPr>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师考核工作，请各学院按照《关于做好2020-2021学年本科生导师考核工作的通知》相关要求，完成好本科生导师考核、本科生导师制工作学年小结及校级优秀本科生导师的推荐工作。</w:t>
      </w:r>
    </w:p>
    <w:p>
      <w:pPr>
        <w:numPr>
          <w:ilvl w:val="0"/>
          <w:numId w:val="4"/>
        </w:numPr>
        <w:spacing w:line="600" w:lineRule="exact"/>
        <w:ind w:left="80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基层教学组织年度考核工作。基层教学组织年度考</w:t>
      </w:r>
    </w:p>
    <w:p>
      <w:pPr>
        <w:numPr>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核工作将于近期启动，本次基层教学组织年度考核采取自评加推优的方式，全校优秀基层教学组织比例不超过基层教学组织总数的10%。后续相关通知发布后请各学院关注。</w:t>
      </w:r>
    </w:p>
    <w:p>
      <w:pPr>
        <w:numPr>
          <w:ilvl w:val="0"/>
          <w:numId w:val="4"/>
        </w:numPr>
        <w:spacing w:line="600" w:lineRule="exact"/>
        <w:ind w:left="800" w:leftChars="0" w:firstLine="0" w:firstLineChars="0"/>
        <w:rPr>
          <w:rFonts w:hint="default" w:ascii="仿宋" w:hAnsi="仿宋" w:eastAsia="仿宋"/>
          <w:sz w:val="32"/>
          <w:szCs w:val="32"/>
          <w:lang w:val="en-US" w:eastAsia="zh-CN"/>
        </w:rPr>
      </w:pPr>
      <w:r>
        <w:rPr>
          <w:rFonts w:hint="eastAsia" w:ascii="仿宋" w:hAnsi="仿宋" w:eastAsia="仿宋"/>
          <w:sz w:val="32"/>
          <w:szCs w:val="32"/>
          <w:lang w:val="en-US" w:eastAsia="zh-CN"/>
        </w:rPr>
        <w:t>通报在线开放课程拍摄情况。今年共立项建设在线</w:t>
      </w:r>
    </w:p>
    <w:p>
      <w:pPr>
        <w:numPr>
          <w:numId w:val="0"/>
        </w:numPr>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开放课程22门，其中2门课程已拍摄完成，进入后期制作阶段；18门课程拍摄进度20%-80%；2门课程已做好准备工作，即将进入拍摄阶段。请各学院提醒老师合理安排时间，保质保量完成拍摄任务。</w:t>
      </w:r>
    </w:p>
    <w:p>
      <w:pPr>
        <w:numPr>
          <w:ilvl w:val="0"/>
          <w:numId w:val="2"/>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学籍管理方面</w:t>
      </w:r>
    </w:p>
    <w:p>
      <w:pPr>
        <w:numPr>
          <w:ilvl w:val="0"/>
          <w:numId w:val="5"/>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新生个人身份信息和学籍注册信息核查工作。按照教育厅相关工作要求，新生要登录学习网核查个人身份信息和学籍注册信息，此项工作对学生毕业审核、学历认证及学校高基表、状态数据库填报均有影响，各学院要高度重视，督促相关人员做好宣传和组织工作，认真核实学生报到注册情况并填报《新生学籍注册信息核对结果登记表》汇总后报送学籍办。</w:t>
      </w:r>
    </w:p>
    <w:p>
      <w:pPr>
        <w:numPr>
          <w:ilvl w:val="0"/>
          <w:numId w:val="5"/>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转专业工作。教务处即将发布秋季本科学生转专业工作方案，请各学院根据工作方案精神和要求，充分了解本次转专业工作的内容及变化，成立转专业工作专项小组，制定本学院转专业工作实施方案并报教务处备案。</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黑体" w:hAnsi="黑体" w:eastAsia="黑体" w:cs="黑体"/>
          <w:bCs/>
          <w:sz w:val="32"/>
          <w:szCs w:val="32"/>
          <w:lang w:val="en-US" w:eastAsia="zh-CN"/>
        </w:rPr>
        <w:t>三、布置近期实验教学工作</w:t>
      </w:r>
    </w:p>
    <w:p>
      <w:pPr>
        <w:numPr>
          <w:ilvl w:val="0"/>
          <w:numId w:val="0"/>
        </w:num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一）教务处10月20日发布《关于开展2021年度虚拟仿真实验教学项目检查的通知》，启动了虚拟仿真实验教学项目建设情况年度检查。主要包括：实验教学实验系统建设、服务建设、主要存在问题及下一步建设计划等。请低碳学院、金融学院、工商管理学院、信息管理与统计学院、经济与贸易学院、艺术设计学院、实验教学中心、马克思主义学院等8个学院的12门省级和校级虚仿项目在10月29日（本周五）前报送有关材料到教务处指定邮箱。</w:t>
      </w:r>
    </w:p>
    <w:p>
      <w:pPr>
        <w:numPr>
          <w:ilvl w:val="0"/>
          <w:numId w:val="0"/>
        </w:num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二）第十二届全国大学生电子商务“创新、创意及创业”挑战赛（简称三创赛）已于10月21日在我校举行启动仪式，报名通道正式开启。即日起至2022年1月15日通过官方网站www.3chuang.net报名，校赛时间为3月1日-4月15日，省赛时间为4月20日-6月30日，全国总决赛将于7月20日-22日由湖北经济学院承办。请各学院做好准备，提前谋划，遴选优秀项目和团队积极参赛。</w:t>
      </w:r>
    </w:p>
    <w:p>
      <w:pPr>
        <w:numPr>
          <w:ilvl w:val="0"/>
          <w:numId w:val="0"/>
        </w:num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三）2022年中国国际“互联网+”大学生创新创业大赛、创青春全国大学生创业大赛、全国大学生电子商务“创新、创意及创业”挑战赛等学科竞赛已陆续启动。为提前谋划定目标、抓早动快强落实，进一步提升竞赛水平、营造创新氛围，经研究决定，拟于10月29日（本周五）对全校2019、2020级全体学生开展学科竞赛指导系列课程第一次专题培训。2018级学生自愿参加。也请各学院动员有指导参赛意愿的教师参加。具体要求以教务处发布的教学安排通知为准。</w:t>
      </w:r>
    </w:p>
    <w:p>
      <w:pPr>
        <w:numPr>
          <w:ilvl w:val="0"/>
          <w:numId w:val="0"/>
        </w:numPr>
        <w:spacing w:line="600" w:lineRule="exact"/>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四、教学委员会会议</w:t>
      </w:r>
    </w:p>
    <w:p>
      <w:pPr>
        <w:numPr>
          <w:ilvl w:val="0"/>
          <w:numId w:val="0"/>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一</w:t>
      </w:r>
      <w:r>
        <w:rPr>
          <w:rFonts w:hint="eastAsia" w:ascii="仿宋" w:hAnsi="仿宋" w:eastAsia="仿宋"/>
          <w:sz w:val="32"/>
          <w:szCs w:val="32"/>
          <w:lang w:eastAsia="zh-CN"/>
        </w:rPr>
        <w:t>）</w:t>
      </w:r>
      <w:r>
        <w:rPr>
          <w:rFonts w:hint="eastAsia" w:ascii="仿宋" w:hAnsi="仿宋" w:eastAsia="仿宋"/>
          <w:sz w:val="32"/>
          <w:szCs w:val="32"/>
          <w:lang w:val="en-US" w:eastAsia="zh-CN"/>
        </w:rPr>
        <w:t>对2021年校级教研项目结题情况进行表决</w:t>
      </w:r>
    </w:p>
    <w:p>
      <w:pPr>
        <w:numPr>
          <w:ilvl w:val="0"/>
          <w:numId w:val="0"/>
        </w:num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根据校级教研项目结题相关要求，经教学委员会（应到28人，实到21人）表决，同意专家评审对2021年校级教研项目（共58项）50项结题，5项见刊后结题，3项不予结题的决定。</w:t>
      </w:r>
    </w:p>
    <w:p>
      <w:pPr>
        <w:numPr>
          <w:ilvl w:val="0"/>
          <w:numId w:val="0"/>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（二）评选2021届优秀学士学位论文推荐名单</w:t>
      </w:r>
    </w:p>
    <w:p>
      <w:pPr>
        <w:numPr>
          <w:ilvl w:val="0"/>
          <w:numId w:val="0"/>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本次优秀学士学位论文采取双盲方式进行评选，经评委打分排序从384篇待评的论文中评选出了117篇论文。教学委员会（应到28人，实到21人）对拟推荐名单进行评议，同意将推荐名单中的论文认定为2021届优秀学士学位论文。</w:t>
      </w:r>
    </w:p>
    <w:p>
      <w:pPr>
        <w:numPr>
          <w:ilvl w:val="0"/>
          <w:numId w:val="6"/>
        </w:num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对“湖北名师工作室”候选人进行评审</w:t>
      </w:r>
    </w:p>
    <w:p>
      <w:pPr>
        <w:numPr>
          <w:ilvl w:val="0"/>
          <w:numId w:val="0"/>
        </w:numPr>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经个人申请、学院推荐、资格审核等程序，学校拟推荐外国语学院</w:t>
      </w:r>
      <w:r>
        <w:rPr>
          <w:rFonts w:hint="default" w:ascii="仿宋" w:hAnsi="仿宋" w:eastAsia="仿宋"/>
          <w:sz w:val="32"/>
          <w:szCs w:val="32"/>
          <w:lang w:val="en-US" w:eastAsia="zh-CN"/>
        </w:rPr>
        <w:t>何明霞</w:t>
      </w:r>
      <w:r>
        <w:rPr>
          <w:rFonts w:hint="eastAsia" w:ascii="仿宋" w:hAnsi="仿宋" w:eastAsia="仿宋"/>
          <w:sz w:val="32"/>
          <w:szCs w:val="32"/>
          <w:lang w:val="en-US" w:eastAsia="zh-CN"/>
        </w:rPr>
        <w:t>教授为“湖北名师工作室”候选人，经教学委员会（应到28人，实到21人）对申报人思想政治、师德师风、学术道德等方面进行审核并投票后，同意推荐</w:t>
      </w:r>
      <w:r>
        <w:rPr>
          <w:rFonts w:hint="default" w:ascii="仿宋" w:hAnsi="仿宋" w:eastAsia="仿宋"/>
          <w:sz w:val="32"/>
          <w:szCs w:val="32"/>
          <w:lang w:val="en-US" w:eastAsia="zh-CN"/>
        </w:rPr>
        <w:t>何明霞</w:t>
      </w:r>
      <w:r>
        <w:rPr>
          <w:rFonts w:hint="eastAsia" w:ascii="仿宋" w:hAnsi="仿宋" w:eastAsia="仿宋"/>
          <w:sz w:val="32"/>
          <w:szCs w:val="32"/>
          <w:lang w:val="en-US" w:eastAsia="zh-CN"/>
        </w:rPr>
        <w:t>教授为“湖北名师工作室”候选人。</w:t>
      </w:r>
    </w:p>
    <w:p>
      <w:pPr>
        <w:numPr>
          <w:ilvl w:val="0"/>
          <w:numId w:val="7"/>
        </w:numPr>
        <w:spacing w:line="600" w:lineRule="exact"/>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副校长付宏讲话</w:t>
      </w:r>
    </w:p>
    <w:p>
      <w:pPr>
        <w:numPr>
          <w:ilvl w:val="0"/>
          <w:numId w:val="0"/>
        </w:numPr>
        <w:spacing w:line="600" w:lineRule="exact"/>
        <w:rPr>
          <w:rFonts w:hint="eastAsia" w:ascii="仿宋" w:hAnsi="仿宋" w:eastAsia="仿宋"/>
          <w:sz w:val="32"/>
          <w:szCs w:val="32"/>
          <w:lang w:val="en-US" w:eastAsia="zh-CN"/>
        </w:rPr>
      </w:pPr>
      <w:r>
        <w:rPr>
          <w:rFonts w:hint="eastAsia" w:ascii="黑体" w:hAnsi="黑体" w:eastAsia="黑体" w:cs="黑体"/>
          <w:bCs/>
          <w:sz w:val="32"/>
          <w:szCs w:val="32"/>
          <w:lang w:val="en-US" w:eastAsia="zh-CN"/>
        </w:rPr>
        <w:t xml:space="preserve"> </w:t>
      </w:r>
      <w:r>
        <w:rPr>
          <w:rFonts w:hint="eastAsia" w:ascii="仿宋" w:hAnsi="仿宋" w:eastAsia="仿宋"/>
          <w:sz w:val="32"/>
          <w:szCs w:val="32"/>
          <w:lang w:val="en-US" w:eastAsia="zh-CN"/>
        </w:rPr>
        <w:t xml:space="preserve">   副校长付宏指出，</w:t>
      </w:r>
      <w:r>
        <w:rPr>
          <w:rFonts w:hint="eastAsia" w:ascii="仿宋" w:hAnsi="仿宋" w:eastAsia="仿宋"/>
          <w:sz w:val="32"/>
          <w:szCs w:val="32"/>
        </w:rPr>
        <w:t>各学院要</w:t>
      </w:r>
      <w:r>
        <w:rPr>
          <w:rFonts w:hint="eastAsia" w:ascii="仿宋" w:hAnsi="仿宋" w:eastAsia="仿宋"/>
          <w:sz w:val="32"/>
          <w:szCs w:val="32"/>
          <w:lang w:eastAsia="zh-CN"/>
        </w:rPr>
        <w:t>将</w:t>
      </w:r>
      <w:r>
        <w:rPr>
          <w:rFonts w:hint="eastAsia" w:ascii="仿宋" w:hAnsi="仿宋" w:eastAsia="仿宋"/>
          <w:sz w:val="32"/>
          <w:szCs w:val="32"/>
        </w:rPr>
        <w:t>会议精神和工作要求传达到位</w:t>
      </w:r>
      <w:r>
        <w:rPr>
          <w:rFonts w:hint="eastAsia" w:ascii="仿宋" w:hAnsi="仿宋" w:eastAsia="仿宋"/>
          <w:sz w:val="32"/>
          <w:szCs w:val="32"/>
          <w:lang w:eastAsia="zh-CN"/>
        </w:rPr>
        <w:t>，</w:t>
      </w:r>
      <w:r>
        <w:rPr>
          <w:rFonts w:hint="eastAsia" w:ascii="仿宋" w:hAnsi="仿宋" w:eastAsia="仿宋"/>
          <w:sz w:val="32"/>
          <w:szCs w:val="32"/>
        </w:rPr>
        <w:t>认真落实好各项工作安排，</w:t>
      </w:r>
      <w:r>
        <w:rPr>
          <w:rFonts w:hint="eastAsia" w:ascii="仿宋" w:hAnsi="仿宋" w:eastAsia="仿宋"/>
          <w:sz w:val="32"/>
          <w:szCs w:val="32"/>
          <w:lang w:eastAsia="zh-CN"/>
        </w:rPr>
        <w:t>并重点强调了以下几个方面的工作：</w:t>
      </w:r>
    </w:p>
    <w:p>
      <w:pPr>
        <w:numPr>
          <w:ilvl w:val="0"/>
          <w:numId w:val="8"/>
        </w:numPr>
        <w:spacing w:line="600" w:lineRule="exact"/>
        <w:ind w:left="64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重视一流本科专业建设点申报工作。现在是一流</w:t>
      </w:r>
    </w:p>
    <w:p>
      <w:pPr>
        <w:numPr>
          <w:ilvl w:val="0"/>
          <w:numId w:val="0"/>
        </w:numPr>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本科专业建设点申报工作的关键节点，前期各申报专业做了充分准备，现阶段应持续加强质量意识，用心打磨申报材料，校内外专家进行严格评审，力争申报材料质量再上一个台阶。</w:t>
      </w:r>
    </w:p>
    <w:p>
      <w:pPr>
        <w:numPr>
          <w:ilvl w:val="0"/>
          <w:numId w:val="8"/>
        </w:numPr>
        <w:spacing w:line="600" w:lineRule="exact"/>
        <w:ind w:left="640" w:leftChars="0" w:firstLine="0" w:firstLineChars="0"/>
        <w:jc w:val="left"/>
        <w:rPr>
          <w:rFonts w:hint="eastAsia" w:ascii="仿宋" w:hAnsi="仿宋" w:eastAsia="仿宋"/>
          <w:sz w:val="32"/>
          <w:szCs w:val="32"/>
          <w:lang w:val="en-US" w:eastAsia="zh-CN"/>
        </w:rPr>
      </w:pPr>
      <w:r>
        <w:rPr>
          <w:rFonts w:hint="eastAsia" w:ascii="仿宋" w:hAnsi="仿宋" w:eastAsia="仿宋"/>
          <w:sz w:val="32"/>
          <w:szCs w:val="32"/>
          <w:lang w:val="en-US" w:eastAsia="zh-CN"/>
        </w:rPr>
        <w:t>认真组织好创新创业类学科竞赛指导系列课程</w:t>
      </w:r>
    </w:p>
    <w:p>
      <w:pPr>
        <w:numPr>
          <w:ilvl w:val="0"/>
          <w:numId w:val="0"/>
        </w:numPr>
        <w:spacing w:line="600" w:lineRule="exact"/>
        <w:jc w:val="left"/>
        <w:rPr>
          <w:rFonts w:hint="default" w:ascii="仿宋" w:hAnsi="仿宋" w:eastAsia="仿宋"/>
          <w:sz w:val="32"/>
          <w:szCs w:val="32"/>
          <w:lang w:val="en-US" w:eastAsia="zh-CN"/>
        </w:rPr>
      </w:pPr>
      <w:r>
        <w:rPr>
          <w:rFonts w:hint="eastAsia" w:ascii="仿宋" w:hAnsi="仿宋" w:eastAsia="仿宋"/>
          <w:sz w:val="32"/>
          <w:szCs w:val="32"/>
          <w:lang w:val="en-US" w:eastAsia="zh-CN"/>
        </w:rPr>
        <w:t>培训。校运动会期间，2019级、2020级全体学生及2021级专升本学生参加学校组织的学科竞赛指导系列课程培训，此次培训要着力培养学生参加各类学科竞赛的意识，达到以赛促训、以赛促学的目的，在全校范围内形成“竞进”的良好风气。各学院要将学科竞赛和一流专业建设紧密结合，将学生组织发展起来，提供高质量竞赛辅导，达成学生未来发展和专业建设的双赢局面。</w:t>
      </w:r>
    </w:p>
    <w:p>
      <w:pPr>
        <w:numPr>
          <w:ilvl w:val="0"/>
          <w:numId w:val="0"/>
        </w:num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第三，严把“毕业关”，落实好毕业论文工作。毕业论文检验了学生在所学专业的学习成果，是人才培养过程中的重要实践教学环节。各学院要抓紧抓实，老师们要做好论文指导工作，督促学生以认真严谨的态度完成毕业论文，重视论文的思想性、创新性、规范性，积极发掘、产出有思想的优秀毕业论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72CC7"/>
    <w:multiLevelType w:val="singleLevel"/>
    <w:tmpl w:val="95772CC7"/>
    <w:lvl w:ilvl="0" w:tentative="0">
      <w:start w:val="3"/>
      <w:numFmt w:val="chineseCounting"/>
      <w:suff w:val="nothing"/>
      <w:lvlText w:val="（%1）"/>
      <w:lvlJc w:val="left"/>
      <w:rPr>
        <w:rFonts w:hint="eastAsia"/>
      </w:rPr>
    </w:lvl>
  </w:abstractNum>
  <w:abstractNum w:abstractNumId="1">
    <w:nsid w:val="9B385F8D"/>
    <w:multiLevelType w:val="singleLevel"/>
    <w:tmpl w:val="9B385F8D"/>
    <w:lvl w:ilvl="0" w:tentative="0">
      <w:start w:val="5"/>
      <w:numFmt w:val="chineseCounting"/>
      <w:suff w:val="nothing"/>
      <w:lvlText w:val="%1、"/>
      <w:lvlJc w:val="left"/>
      <w:rPr>
        <w:rFonts w:hint="eastAsia"/>
      </w:rPr>
    </w:lvl>
  </w:abstractNum>
  <w:abstractNum w:abstractNumId="2">
    <w:nsid w:val="CC8A5376"/>
    <w:multiLevelType w:val="singleLevel"/>
    <w:tmpl w:val="CC8A5376"/>
    <w:lvl w:ilvl="0" w:tentative="0">
      <w:start w:val="1"/>
      <w:numFmt w:val="chineseCounting"/>
      <w:suff w:val="nothing"/>
      <w:lvlText w:val="%1、"/>
      <w:lvlJc w:val="left"/>
      <w:pPr>
        <w:ind w:left="-10"/>
      </w:pPr>
      <w:rPr>
        <w:rFonts w:hint="eastAsia"/>
      </w:rPr>
    </w:lvl>
  </w:abstractNum>
  <w:abstractNum w:abstractNumId="3">
    <w:nsid w:val="1A3BC088"/>
    <w:multiLevelType w:val="singleLevel"/>
    <w:tmpl w:val="1A3BC088"/>
    <w:lvl w:ilvl="0" w:tentative="0">
      <w:start w:val="1"/>
      <w:numFmt w:val="decimal"/>
      <w:suff w:val="nothing"/>
      <w:lvlText w:val="%1．"/>
      <w:lvlJc w:val="left"/>
      <w:pPr>
        <w:ind w:left="-10" w:firstLine="400"/>
      </w:pPr>
      <w:rPr>
        <w:rFonts w:hint="default"/>
      </w:rPr>
    </w:lvl>
  </w:abstractNum>
  <w:abstractNum w:abstractNumId="4">
    <w:nsid w:val="20EF179A"/>
    <w:multiLevelType w:val="singleLevel"/>
    <w:tmpl w:val="20EF179A"/>
    <w:lvl w:ilvl="0" w:tentative="0">
      <w:start w:val="1"/>
      <w:numFmt w:val="chineseCounting"/>
      <w:suff w:val="nothing"/>
      <w:lvlText w:val="第%1，"/>
      <w:lvlJc w:val="left"/>
      <w:pPr>
        <w:ind w:left="640" w:leftChars="0" w:firstLine="0" w:firstLineChars="0"/>
      </w:pPr>
      <w:rPr>
        <w:rFonts w:hint="eastAsia"/>
      </w:rPr>
    </w:lvl>
  </w:abstractNum>
  <w:abstractNum w:abstractNumId="5">
    <w:nsid w:val="3B10A1BA"/>
    <w:multiLevelType w:val="singleLevel"/>
    <w:tmpl w:val="3B10A1BA"/>
    <w:lvl w:ilvl="0" w:tentative="0">
      <w:start w:val="1"/>
      <w:numFmt w:val="chineseCounting"/>
      <w:suff w:val="nothing"/>
      <w:lvlText w:val="（%1）"/>
      <w:lvlJc w:val="left"/>
      <w:rPr>
        <w:rFonts w:hint="eastAsia"/>
      </w:rPr>
    </w:lvl>
  </w:abstractNum>
  <w:abstractNum w:abstractNumId="6">
    <w:nsid w:val="5AED19DE"/>
    <w:multiLevelType w:val="singleLevel"/>
    <w:tmpl w:val="5AED19DE"/>
    <w:lvl w:ilvl="0" w:tentative="0">
      <w:start w:val="1"/>
      <w:numFmt w:val="decimal"/>
      <w:suff w:val="nothing"/>
      <w:lvlText w:val="%1．"/>
      <w:lvlJc w:val="left"/>
      <w:pPr>
        <w:ind w:left="0" w:firstLine="400"/>
      </w:pPr>
      <w:rPr>
        <w:rFonts w:hint="default"/>
      </w:rPr>
    </w:lvl>
  </w:abstractNum>
  <w:abstractNum w:abstractNumId="7">
    <w:nsid w:val="72F99969"/>
    <w:multiLevelType w:val="singleLevel"/>
    <w:tmpl w:val="72F99969"/>
    <w:lvl w:ilvl="0" w:tentative="0">
      <w:start w:val="1"/>
      <w:numFmt w:val="decimal"/>
      <w:lvlText w:val="%1."/>
      <w:lvlJc w:val="left"/>
      <w:pPr>
        <w:tabs>
          <w:tab w:val="left" w:pos="312"/>
        </w:tabs>
        <w:ind w:left="800" w:leftChars="0" w:firstLine="0" w:firstLineChars="0"/>
      </w:pPr>
    </w:lvl>
  </w:abstractNum>
  <w:num w:numId="1">
    <w:abstractNumId w:val="2"/>
  </w:num>
  <w:num w:numId="2">
    <w:abstractNumId w:val="5"/>
  </w:num>
  <w:num w:numId="3">
    <w:abstractNumId w:val="6"/>
  </w:num>
  <w:num w:numId="4">
    <w:abstractNumId w:val="7"/>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707BF"/>
    <w:rsid w:val="03AB522D"/>
    <w:rsid w:val="0D9B3A93"/>
    <w:rsid w:val="106C75DD"/>
    <w:rsid w:val="12E56F39"/>
    <w:rsid w:val="1F787FF8"/>
    <w:rsid w:val="27803DF4"/>
    <w:rsid w:val="3679332E"/>
    <w:rsid w:val="37767B33"/>
    <w:rsid w:val="5560431C"/>
    <w:rsid w:val="5CB84A64"/>
    <w:rsid w:val="634C7FD7"/>
    <w:rsid w:val="6BBD50F4"/>
    <w:rsid w:val="6E3707BF"/>
    <w:rsid w:val="70380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2021-09-09T07:55:00Z</dcterms:created>
  <dc:creator>闻温温</dc:creator>
  <cp:lastModifiedBy>闻温温</cp:lastModifiedBy>
  <cp:lastPrinted>2021-11-01T00:30:56Z</cp:lastPrinted>
  <dcterms:modified xsi:type="dcterms:W3CDTF">2021-11-01T03:21:54Z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87E4244B24B045D9B059EE010A38E027</vt:lpwstr>
  </property>
</Properties>
</file>