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00" w:afterAutospacing="1" w:line="560" w:lineRule="exact"/>
        <w:jc w:val="left"/>
        <w:rPr>
          <w:rFonts w:hint="eastAsia" w:ascii="黑体" w:hAnsi="黑体" w:eastAsia="黑体" w:cstheme="minorBidi"/>
          <w:sz w:val="32"/>
          <w:szCs w:val="32"/>
          <w:lang w:eastAsia="zh-CN"/>
        </w:rPr>
      </w:pPr>
      <w:r>
        <w:rPr>
          <w:rFonts w:hint="eastAsia" w:ascii="黑体" w:hAnsi="黑体" w:eastAsia="黑体" w:cstheme="minorBidi"/>
          <w:sz w:val="32"/>
          <w:szCs w:val="32"/>
        </w:rPr>
        <w:t>附件</w:t>
      </w:r>
      <w:r>
        <w:rPr>
          <w:rFonts w:ascii="黑体" w:hAnsi="黑体" w:eastAsia="黑体" w:cstheme="minorBidi"/>
          <w:sz w:val="32"/>
          <w:szCs w:val="32"/>
        </w:rPr>
        <w:t>1</w:t>
      </w:r>
    </w:p>
    <w:p>
      <w:pPr>
        <w:widowControl/>
        <w:shd w:val="clear" w:color="auto" w:fill="FFFFFF"/>
        <w:spacing w:after="100" w:afterAutospacing="1" w:line="360" w:lineRule="auto"/>
        <w:jc w:val="center"/>
        <w:rPr>
          <w:rFonts w:ascii="仿宋" w:hAnsi="仿宋" w:eastAsia="仿宋" w:cs="Tahoma"/>
          <w:b/>
          <w:bCs/>
          <w:color w:val="333333"/>
          <w:kern w:val="0"/>
          <w:sz w:val="32"/>
          <w:szCs w:val="32"/>
        </w:rPr>
      </w:pPr>
      <w:r>
        <w:rPr>
          <w:rFonts w:hint="eastAsia" w:ascii="方正小标宋简体" w:hAnsi="方正小标宋简体" w:eastAsia="方正小标宋简体" w:cstheme="minorBidi"/>
          <w:sz w:val="44"/>
          <w:szCs w:val="44"/>
        </w:rPr>
        <w:t>202</w:t>
      </w:r>
      <w:r>
        <w:rPr>
          <w:rFonts w:ascii="方正小标宋简体" w:hAnsi="方正小标宋简体" w:eastAsia="方正小标宋简体" w:cstheme="minorBidi"/>
          <w:sz w:val="44"/>
          <w:szCs w:val="44"/>
        </w:rPr>
        <w:t>2</w:t>
      </w:r>
      <w:r>
        <w:rPr>
          <w:rFonts w:hint="eastAsia" w:ascii="方正小标宋简体" w:hAnsi="方正小标宋简体" w:eastAsia="方正小标宋简体" w:cstheme="minorBidi"/>
          <w:sz w:val="44"/>
          <w:szCs w:val="44"/>
        </w:rPr>
        <w:t>年湖北经济学院一般项目及教学管理专项教学改革研究项目指南</w:t>
      </w:r>
    </w:p>
    <w:p>
      <w:pPr>
        <w:adjustRightInd w:val="0"/>
        <w:snapToGrid w:val="0"/>
        <w:spacing w:line="360" w:lineRule="auto"/>
        <w:ind w:firstLine="643" w:firstLineChars="200"/>
        <w:rPr>
          <w:rFonts w:hint="eastAsia" w:ascii="仿宋" w:hAnsi="仿宋" w:eastAsia="仿宋" w:cs="仿宋"/>
          <w:b/>
          <w:bCs w:val="0"/>
          <w:sz w:val="32"/>
          <w:szCs w:val="32"/>
        </w:rPr>
      </w:pPr>
      <w:r>
        <w:rPr>
          <w:rFonts w:hint="eastAsia" w:ascii="仿宋" w:hAnsi="仿宋" w:eastAsia="仿宋" w:cs="仿宋"/>
          <w:b/>
          <w:bCs w:val="0"/>
          <w:sz w:val="32"/>
          <w:szCs w:val="32"/>
        </w:rPr>
        <w:t>一、高等教育发展战略研究及综合研究</w:t>
      </w:r>
    </w:p>
    <w:p>
      <w:pPr>
        <w:adjustRightInd w:val="0"/>
        <w:snapToGrid w:val="0"/>
        <w:spacing w:line="360" w:lineRule="auto"/>
        <w:ind w:firstLine="640" w:firstLineChars="200"/>
        <w:rPr>
          <w:rFonts w:hint="eastAsia" w:ascii="仿宋" w:hAnsi="仿宋" w:eastAsia="仿宋" w:cs="仿宋"/>
          <w:b w:val="0"/>
          <w:bCs/>
          <w:sz w:val="32"/>
          <w:szCs w:val="32"/>
        </w:rPr>
      </w:pPr>
      <w:r>
        <w:rPr>
          <w:rFonts w:hint="eastAsia" w:ascii="仿宋" w:hAnsi="仿宋" w:eastAsia="仿宋" w:cs="仿宋"/>
          <w:b w:val="0"/>
          <w:bCs/>
          <w:sz w:val="32"/>
          <w:szCs w:val="32"/>
        </w:rPr>
        <w:t>结合高等教育发展趋势和我省实际</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开展湖北高等教育发展战略研究和湖北高等教育竞争力研究</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适应湖北省区域经济建设和社会发展需要的高等学校办学思想、办学体制、办学模式、人才培养模式的研究</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湖北省高等教育规模、结构、质量、效益协调发展和可持续发展机制的研究与实践</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湖北省高等教育内涵发展的路径研究</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湖北省高等学校分类指导研究</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高等学校办学定位与办学特色研究</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高等学校创新产学研合作机制研究</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高等学校科教融合机制研究</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高等学校多学科交叉融合机制研究</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产业学院发展探索与研究</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高等教育优化学科专业结构、服务湖北地方经济发展研究</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现代大学制度研究与探索及高校治理体系和治理能力现代化研究</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东中西部高校协作、对口支援提升办学能力方面研究</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高校落实教学中心地位、提高人才培养能力</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加快形成高水平人才培养体系的综合研究等。</w:t>
      </w:r>
    </w:p>
    <w:p>
      <w:pPr>
        <w:adjustRightInd w:val="0"/>
        <w:snapToGrid w:val="0"/>
        <w:spacing w:line="360" w:lineRule="auto"/>
        <w:ind w:firstLine="643" w:firstLineChars="200"/>
        <w:rPr>
          <w:rFonts w:hint="eastAsia" w:ascii="仿宋" w:hAnsi="仿宋" w:eastAsia="仿宋" w:cs="仿宋"/>
          <w:b/>
          <w:bCs w:val="0"/>
          <w:sz w:val="32"/>
          <w:szCs w:val="32"/>
        </w:rPr>
      </w:pPr>
      <w:r>
        <w:rPr>
          <w:rFonts w:hint="eastAsia" w:ascii="仿宋" w:hAnsi="仿宋" w:eastAsia="仿宋" w:cs="仿宋"/>
          <w:b/>
          <w:bCs w:val="0"/>
          <w:sz w:val="32"/>
          <w:szCs w:val="32"/>
        </w:rPr>
        <w:t>二、课程思政建设研究与实践</w:t>
      </w:r>
    </w:p>
    <w:p>
      <w:pPr>
        <w:adjustRightInd w:val="0"/>
        <w:snapToGrid w:val="0"/>
        <w:spacing w:line="360" w:lineRule="auto"/>
        <w:ind w:firstLine="640" w:firstLineChars="200"/>
        <w:rPr>
          <w:rFonts w:hint="eastAsia" w:ascii="仿宋" w:hAnsi="仿宋" w:eastAsia="仿宋" w:cs="仿宋"/>
          <w:b w:val="0"/>
          <w:bCs/>
          <w:sz w:val="32"/>
          <w:szCs w:val="32"/>
        </w:rPr>
      </w:pPr>
      <w:r>
        <w:rPr>
          <w:rFonts w:hint="eastAsia" w:ascii="仿宋" w:hAnsi="仿宋" w:eastAsia="仿宋" w:cs="仿宋"/>
          <w:b w:val="0"/>
          <w:bCs/>
          <w:sz w:val="32"/>
          <w:szCs w:val="32"/>
        </w:rPr>
        <w:t>高校关于课程思政教学体系的建设与研究</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高校在系统推进中国特色社会主义和中国梦教育、社会主义核心价值观教育、法治教育、劳动教育、心理健康教育、中华优秀传统文化教育的研究与实践</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结合学科专业特点推进思政元素融入课程教学的改革和创新研究</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课程思政融入课堂教学全过程的方法途径探索与实践</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推进教师思政能力建设的机制研究</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课程思政建设质量评价体系和激励机制的探索与研究等。</w:t>
      </w:r>
    </w:p>
    <w:p>
      <w:pPr>
        <w:adjustRightInd w:val="0"/>
        <w:snapToGrid w:val="0"/>
        <w:spacing w:line="360" w:lineRule="auto"/>
        <w:ind w:firstLine="643" w:firstLineChars="200"/>
        <w:rPr>
          <w:rFonts w:hint="eastAsia" w:ascii="仿宋" w:hAnsi="仿宋" w:eastAsia="仿宋" w:cs="仿宋"/>
          <w:b w:val="0"/>
          <w:bCs/>
          <w:sz w:val="32"/>
          <w:szCs w:val="32"/>
        </w:rPr>
      </w:pPr>
      <w:r>
        <w:rPr>
          <w:rFonts w:hint="eastAsia" w:ascii="仿宋" w:hAnsi="仿宋" w:eastAsia="仿宋" w:cs="仿宋"/>
          <w:b/>
          <w:bCs w:val="0"/>
          <w:sz w:val="32"/>
          <w:szCs w:val="32"/>
        </w:rPr>
        <w:t>三、人才培养模式改革与创新研究</w:t>
      </w:r>
    </w:p>
    <w:p>
      <w:pPr>
        <w:adjustRightInd w:val="0"/>
        <w:snapToGrid w:val="0"/>
        <w:spacing w:line="360" w:lineRule="auto"/>
        <w:ind w:firstLine="640" w:firstLineChars="200"/>
        <w:rPr>
          <w:rFonts w:hint="eastAsia" w:ascii="仿宋" w:hAnsi="仿宋" w:eastAsia="仿宋" w:cs="仿宋"/>
          <w:b w:val="0"/>
          <w:bCs/>
          <w:sz w:val="32"/>
          <w:szCs w:val="32"/>
        </w:rPr>
      </w:pPr>
      <w:r>
        <w:rPr>
          <w:rFonts w:hint="eastAsia" w:ascii="仿宋" w:hAnsi="仿宋" w:eastAsia="仿宋" w:cs="仿宋"/>
          <w:b w:val="0"/>
          <w:bCs/>
          <w:sz w:val="32"/>
          <w:szCs w:val="32"/>
        </w:rPr>
        <w:t>高校关于复合型、创新型、应用型、技能型人才培养体系研究</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高校实践教学模式及运行机制创新研究</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校企、校院(所)协同育人机制研究及产学研用合作培养人才研究与实践</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校企合作产教融合研究如实践教学体系改革、实践教学基地建设、高校教师与行业企业、实务部门专家互聘和联合编写教材、教学案例等</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各类拔尖创新型、卓越人才培养模式改革与创新研究</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国际视野及国际化人才培养模式的研究与实践</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"3+2"本科与高职联合培养模式研究</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高校通识教育教学内容与体系建设研究、素质教育研究</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基于学生自主学习能力培养和个性化教学的人才培养模式研究与实践等。重点支持各试点学院和试点单位在改革项目上的教学研究。</w:t>
      </w:r>
    </w:p>
    <w:p>
      <w:pPr>
        <w:adjustRightInd w:val="0"/>
        <w:snapToGrid w:val="0"/>
        <w:spacing w:line="360" w:lineRule="auto"/>
        <w:ind w:firstLine="643" w:firstLineChars="200"/>
        <w:rPr>
          <w:rFonts w:hint="eastAsia" w:ascii="仿宋" w:hAnsi="仿宋" w:eastAsia="仿宋" w:cs="仿宋"/>
          <w:b/>
          <w:bCs w:val="0"/>
          <w:sz w:val="32"/>
          <w:szCs w:val="32"/>
        </w:rPr>
      </w:pPr>
      <w:r>
        <w:rPr>
          <w:rFonts w:hint="eastAsia" w:ascii="仿宋" w:hAnsi="仿宋" w:eastAsia="仿宋" w:cs="仿宋"/>
          <w:b/>
          <w:bCs w:val="0"/>
          <w:sz w:val="32"/>
          <w:szCs w:val="32"/>
        </w:rPr>
        <w:t>四、新工科、新医科、新农科、新文科的理论与实践研究</w:t>
      </w:r>
    </w:p>
    <w:p>
      <w:pPr>
        <w:adjustRightInd w:val="0"/>
        <w:snapToGrid w:val="0"/>
        <w:spacing w:line="360" w:lineRule="auto"/>
        <w:ind w:firstLine="640" w:firstLineChars="200"/>
        <w:rPr>
          <w:rFonts w:hint="eastAsia" w:ascii="仿宋" w:hAnsi="仿宋" w:eastAsia="仿宋" w:cs="仿宋"/>
          <w:b w:val="0"/>
          <w:bCs/>
          <w:sz w:val="32"/>
          <w:szCs w:val="32"/>
        </w:rPr>
      </w:pPr>
      <w:r>
        <w:rPr>
          <w:rFonts w:hint="eastAsia" w:ascii="仿宋" w:hAnsi="仿宋" w:eastAsia="仿宋" w:cs="仿宋"/>
          <w:b w:val="0"/>
          <w:bCs/>
          <w:sz w:val="32"/>
          <w:szCs w:val="32"/>
        </w:rPr>
        <w:t>新工科、新医科、新农科、新文科建设背景下教育的改革新理念、学科专业的新结构、人才培养的新模式、教育教学的新质量、分类培养的新体系等</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高校关于新经济背景下面向未来产业发展需求</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推动现有工、医、农、文科的交叉复合、与其他学科的交叉融合的探索与实践研究</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面向新经济和区域经济发展需要、面向未来的新兴工、医、农、文科专业研究与探索及传统专业更新、迭代和升级研究</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多学科交叉复合的新兴工、医、农、文科专业建设</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多学科交叉融合的工程人才培养模式探索与实践</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新工科、新医科、新农科、新文科建设进展、实施情况和实践案例研究等</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新工科、新医科、新农科、新文科专业认证研究与实践等。</w:t>
      </w:r>
    </w:p>
    <w:p>
      <w:pPr>
        <w:adjustRightInd w:val="0"/>
        <w:snapToGrid w:val="0"/>
        <w:spacing w:line="360" w:lineRule="auto"/>
        <w:ind w:firstLine="643" w:firstLineChars="200"/>
        <w:rPr>
          <w:rFonts w:hint="eastAsia" w:ascii="仿宋" w:hAnsi="仿宋" w:eastAsia="仿宋" w:cs="仿宋"/>
          <w:b/>
          <w:bCs w:val="0"/>
          <w:sz w:val="32"/>
          <w:szCs w:val="32"/>
        </w:rPr>
      </w:pPr>
      <w:r>
        <w:rPr>
          <w:rFonts w:hint="eastAsia" w:ascii="仿宋" w:hAnsi="仿宋" w:eastAsia="仿宋" w:cs="仿宋"/>
          <w:b/>
          <w:bCs w:val="0"/>
          <w:sz w:val="32"/>
          <w:szCs w:val="32"/>
        </w:rPr>
        <w:t>五、专业与课程体系建设和改革</w:t>
      </w:r>
    </w:p>
    <w:p>
      <w:pPr>
        <w:adjustRightInd w:val="0"/>
        <w:snapToGrid w:val="0"/>
        <w:spacing w:line="360" w:lineRule="auto"/>
        <w:ind w:firstLine="640" w:firstLineChars="200"/>
        <w:rPr>
          <w:rFonts w:hint="eastAsia" w:ascii="仿宋" w:hAnsi="仿宋" w:eastAsia="仿宋" w:cs="仿宋"/>
          <w:b w:val="0"/>
          <w:bCs/>
          <w:sz w:val="32"/>
          <w:szCs w:val="32"/>
        </w:rPr>
      </w:pPr>
      <w:r>
        <w:rPr>
          <w:rFonts w:hint="eastAsia" w:ascii="仿宋" w:hAnsi="仿宋" w:eastAsia="仿宋" w:cs="仿宋"/>
          <w:b w:val="0"/>
          <w:bCs/>
          <w:sz w:val="32"/>
          <w:szCs w:val="32"/>
        </w:rPr>
        <w:t>一流本科专业建设研究</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内容主要包括一流专业的建设、各类卓越拔尖创新人才培养计划的实践等</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国内外大学本科专业建设特色比较研究</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高等学校专业群建设研究、品牌特色专业建设及紧缺专业和新办专业建设研究</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适应湖北区域经济社会发展要求的优势、特色专业建设与改革研究</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高校专业设置、调整、优化、管理、评估和评价机制的研究与实践</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人才培养与产业需求对接的监测预警机制研究</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符合湖北、区域、行业发展需要的专业结构优化研究与实践</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面向湖北工业、产业集群发展需要的专业建设研究与实践等。</w:t>
      </w:r>
    </w:p>
    <w:p>
      <w:pPr>
        <w:adjustRightInd w:val="0"/>
        <w:snapToGrid w:val="0"/>
        <w:spacing w:line="360" w:lineRule="auto"/>
        <w:ind w:firstLine="640" w:firstLineChars="200"/>
        <w:rPr>
          <w:rFonts w:hint="eastAsia" w:ascii="仿宋" w:hAnsi="仿宋" w:eastAsia="仿宋" w:cs="仿宋"/>
          <w:b w:val="0"/>
          <w:bCs/>
          <w:sz w:val="32"/>
          <w:szCs w:val="32"/>
        </w:rPr>
      </w:pPr>
      <w:r>
        <w:rPr>
          <w:rFonts w:hint="eastAsia" w:ascii="仿宋" w:hAnsi="仿宋" w:eastAsia="仿宋" w:cs="仿宋"/>
          <w:b w:val="0"/>
          <w:bCs/>
          <w:sz w:val="32"/>
          <w:szCs w:val="32"/>
        </w:rPr>
        <w:t>系列课程、教材建设研究。包括创新课程体系建设研究、素质教育课程体系及相关教材建设与研究、一流本科课程建设与应用的理论研究与实践、区域高校课程联盟运作体系研究与实践、高校双语课程建设及双语教学改革的研究</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研究国内外优质课程教学资源共享研究</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高校课程的准入、建设、评价与淘汰机制研究</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产学合作新课程的开发和新教材建设</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多介质、数字化、智能化、快速迭代的新形态教材建设等</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马工程</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重点教材的应用与研究等。</w:t>
      </w:r>
    </w:p>
    <w:p>
      <w:pPr>
        <w:adjustRightInd w:val="0"/>
        <w:snapToGrid w:val="0"/>
        <w:spacing w:line="360" w:lineRule="auto"/>
        <w:ind w:firstLine="643" w:firstLineChars="200"/>
        <w:rPr>
          <w:rFonts w:hint="eastAsia" w:ascii="仿宋" w:hAnsi="仿宋" w:eastAsia="仿宋" w:cs="仿宋"/>
          <w:b/>
          <w:bCs w:val="0"/>
          <w:sz w:val="32"/>
          <w:szCs w:val="32"/>
        </w:rPr>
      </w:pPr>
      <w:r>
        <w:rPr>
          <w:rFonts w:hint="eastAsia" w:ascii="仿宋" w:hAnsi="仿宋" w:eastAsia="仿宋" w:cs="仿宋"/>
          <w:b/>
          <w:bCs w:val="0"/>
          <w:sz w:val="32"/>
          <w:szCs w:val="32"/>
        </w:rPr>
        <w:t>六、教师队伍建设与教师教学能力提升</w:t>
      </w:r>
    </w:p>
    <w:p>
      <w:pPr>
        <w:adjustRightInd w:val="0"/>
        <w:snapToGrid w:val="0"/>
        <w:spacing w:line="360" w:lineRule="auto"/>
        <w:ind w:firstLine="640" w:firstLineChars="200"/>
        <w:rPr>
          <w:rFonts w:hint="eastAsia" w:ascii="仿宋" w:hAnsi="仿宋" w:eastAsia="仿宋" w:cs="仿宋"/>
          <w:b w:val="0"/>
          <w:bCs/>
          <w:sz w:val="32"/>
          <w:szCs w:val="32"/>
        </w:rPr>
      </w:pPr>
      <w:r>
        <w:rPr>
          <w:rFonts w:hint="eastAsia" w:ascii="仿宋" w:hAnsi="仿宋" w:eastAsia="仿宋" w:cs="仿宋"/>
          <w:b w:val="0"/>
          <w:bCs/>
          <w:sz w:val="32"/>
          <w:szCs w:val="32"/>
        </w:rPr>
        <w:t>教学团队建设与优秀教学团队形成机制研究</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基层教学组织建设研究</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高校教师教学能力、实践能力提升方式与途径研究</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高校教师发展中心建设与中青年教师培训研究与实践</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完善教授为本科生授课的机制研究与实践</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高校教风与学风建设</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科学合理的高校教师教学能力评价办法探索与实践</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高校教师教学激励机制研究</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教学名师培养、名师工作室建设</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双师型</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教师队伍建设与管理研究等。</w:t>
      </w:r>
    </w:p>
    <w:p>
      <w:pPr>
        <w:adjustRightInd w:val="0"/>
        <w:snapToGrid w:val="0"/>
        <w:spacing w:line="360" w:lineRule="auto"/>
        <w:ind w:firstLine="643" w:firstLineChars="200"/>
        <w:rPr>
          <w:rFonts w:hint="eastAsia" w:ascii="仿宋" w:hAnsi="仿宋" w:eastAsia="仿宋" w:cs="仿宋"/>
          <w:b/>
          <w:bCs w:val="0"/>
          <w:sz w:val="32"/>
          <w:szCs w:val="32"/>
        </w:rPr>
      </w:pPr>
      <w:r>
        <w:rPr>
          <w:rFonts w:hint="eastAsia" w:ascii="仿宋" w:hAnsi="仿宋" w:eastAsia="仿宋" w:cs="仿宋"/>
          <w:b/>
          <w:bCs w:val="0"/>
          <w:sz w:val="32"/>
          <w:szCs w:val="32"/>
        </w:rPr>
        <w:t>七、教学内容更新与教学方法改革</w:t>
      </w:r>
    </w:p>
    <w:p>
      <w:pPr>
        <w:adjustRightInd w:val="0"/>
        <w:snapToGrid w:val="0"/>
        <w:spacing w:line="360" w:lineRule="auto"/>
        <w:ind w:firstLine="640" w:firstLineChars="200"/>
        <w:rPr>
          <w:rFonts w:hint="eastAsia" w:ascii="仿宋" w:hAnsi="仿宋" w:eastAsia="仿宋" w:cs="仿宋"/>
          <w:b w:val="0"/>
          <w:bCs/>
          <w:sz w:val="32"/>
          <w:szCs w:val="32"/>
        </w:rPr>
      </w:pPr>
      <w:r>
        <w:rPr>
          <w:rFonts w:hint="eastAsia" w:ascii="仿宋" w:hAnsi="仿宋" w:eastAsia="仿宋" w:cs="仿宋"/>
          <w:b w:val="0"/>
          <w:bCs/>
          <w:sz w:val="32"/>
          <w:szCs w:val="32"/>
        </w:rPr>
        <w:t>基于创新人才培养的教学内容更新研究</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高校课堂教学模式创新研究</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基于能力培养的高校课堂教学手段与方法改革研究</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互联网背景下的通识教育研究</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高等学校教学资源库和试题库建设与应用</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与职业(行业)标准相衔接的课程与教学内容体系探索</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高校课程体系整体优化与教学内容改革的研究与实践</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高校案例式、启发式、探究式、讨论式等教学方法的探索与实践</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公共基础课教学改革研究</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基于移动互联网络环境的学习模式研究等。</w:t>
      </w:r>
    </w:p>
    <w:p>
      <w:pPr>
        <w:adjustRightInd w:val="0"/>
        <w:snapToGrid w:val="0"/>
        <w:spacing w:line="360" w:lineRule="auto"/>
        <w:ind w:firstLine="643" w:firstLineChars="200"/>
        <w:rPr>
          <w:rFonts w:hint="eastAsia" w:ascii="仿宋" w:hAnsi="仿宋" w:eastAsia="仿宋" w:cs="仿宋"/>
          <w:b/>
          <w:bCs w:val="0"/>
          <w:sz w:val="32"/>
          <w:szCs w:val="32"/>
        </w:rPr>
      </w:pPr>
      <w:r>
        <w:rPr>
          <w:rFonts w:hint="eastAsia" w:ascii="仿宋" w:hAnsi="仿宋" w:eastAsia="仿宋" w:cs="仿宋"/>
          <w:b/>
          <w:bCs w:val="0"/>
          <w:sz w:val="32"/>
          <w:szCs w:val="32"/>
        </w:rPr>
        <w:t>八、实践教学改革与大学生创新能力培养</w:t>
      </w:r>
    </w:p>
    <w:p>
      <w:pPr>
        <w:adjustRightInd w:val="0"/>
        <w:snapToGrid w:val="0"/>
        <w:spacing w:line="360" w:lineRule="auto"/>
        <w:ind w:firstLine="640" w:firstLineChars="200"/>
        <w:rPr>
          <w:rFonts w:hint="eastAsia" w:ascii="仿宋" w:hAnsi="仿宋" w:eastAsia="仿宋" w:cs="仿宋"/>
          <w:b w:val="0"/>
          <w:bCs/>
          <w:sz w:val="32"/>
          <w:szCs w:val="32"/>
        </w:rPr>
      </w:pPr>
      <w:r>
        <w:rPr>
          <w:rFonts w:hint="eastAsia" w:ascii="仿宋" w:hAnsi="仿宋" w:eastAsia="仿宋" w:cs="仿宋"/>
          <w:b w:val="0"/>
          <w:bCs/>
          <w:sz w:val="32"/>
          <w:szCs w:val="32"/>
        </w:rPr>
        <w:t>优化实践过程管理</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完善用人单位接收大学生实习的制度保障</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改进实践教学体系和运行模式研究与实践</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实践课教师队伍建设</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实践教育基地建设模式的研究与实践</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实验教学示范中心、虚拟仿真实验中心、工程训练中心、实习实训基地的建设、管理与运行机制研究</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大学生实践能力培养、毕业实习、毕业设计(论文)等各实践教学环节的建设与管理研究</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大学生创新创业教育与就业、创业能力研究</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创新创业教育课程体系建设、创新创业实践平台建设、创新创业教育实践、创新创业教育管理改革等</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大学生科技创新竞赛活动组织管理模式研究</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大学生创新活动基地建设和运行管理机制研究</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第二课堂与大学生创新能力培养研究等。</w:t>
      </w:r>
    </w:p>
    <w:p>
      <w:pPr>
        <w:adjustRightInd w:val="0"/>
        <w:snapToGrid w:val="0"/>
        <w:spacing w:line="360" w:lineRule="auto"/>
        <w:ind w:firstLine="640" w:firstLineChars="200"/>
        <w:rPr>
          <w:rFonts w:hint="eastAsia" w:ascii="仿宋" w:hAnsi="仿宋" w:eastAsia="仿宋" w:cs="仿宋"/>
          <w:b w:val="0"/>
          <w:bCs/>
          <w:sz w:val="32"/>
          <w:szCs w:val="32"/>
        </w:rPr>
      </w:pPr>
      <w:r>
        <w:rPr>
          <w:rFonts w:hint="eastAsia" w:ascii="仿宋" w:hAnsi="仿宋" w:eastAsia="仿宋" w:cs="仿宋"/>
          <w:b w:val="0"/>
          <w:bCs/>
          <w:sz w:val="32"/>
          <w:szCs w:val="32"/>
        </w:rPr>
        <w:t>九、本科教育教学制度改革研究与实践</w:t>
      </w:r>
    </w:p>
    <w:p>
      <w:pPr>
        <w:adjustRightInd w:val="0"/>
        <w:snapToGrid w:val="0"/>
        <w:spacing w:line="360" w:lineRule="auto"/>
        <w:ind w:firstLine="640" w:firstLineChars="200"/>
        <w:rPr>
          <w:rFonts w:hint="eastAsia" w:ascii="仿宋" w:hAnsi="仿宋" w:eastAsia="仿宋" w:cs="仿宋"/>
          <w:b w:val="0"/>
          <w:bCs/>
          <w:sz w:val="32"/>
          <w:szCs w:val="32"/>
        </w:rPr>
      </w:pPr>
      <w:r>
        <w:rPr>
          <w:rFonts w:hint="eastAsia" w:ascii="仿宋" w:hAnsi="仿宋" w:eastAsia="仿宋" w:cs="仿宋"/>
          <w:b w:val="0"/>
          <w:bCs/>
          <w:sz w:val="32"/>
          <w:szCs w:val="32"/>
        </w:rPr>
        <w:t>完善学分制</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扩大学生学习自主权、选择权</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建立健全本科生学业导师制度</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建立完善与学分制改革和弹性学习相适应的管理制度</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加强校际学分互认与转化实践等教育教学制度改革研究与实践</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围绕辅修课程体系、学分标准和学士学位授予标准等开展辅修专业制度改革与实践</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建立健全与主辅修制度相适应的联动机制的研究与实践</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双学士学位人才培养试点、第二学士学位教学改革与管理制度研究</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跨校联合人才培养、区域教学联合体、省部高校共建及对口支持协作等建设与研究</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高校间优质教学资源的建设与共享机制研究。</w:t>
      </w:r>
    </w:p>
    <w:p>
      <w:pPr>
        <w:adjustRightInd w:val="0"/>
        <w:snapToGrid w:val="0"/>
        <w:spacing w:line="360" w:lineRule="auto"/>
        <w:ind w:firstLine="643" w:firstLineChars="200"/>
        <w:rPr>
          <w:rFonts w:hint="eastAsia" w:ascii="仿宋" w:hAnsi="仿宋" w:eastAsia="仿宋" w:cs="仿宋"/>
          <w:b/>
          <w:bCs w:val="0"/>
          <w:sz w:val="32"/>
          <w:szCs w:val="32"/>
        </w:rPr>
      </w:pPr>
      <w:r>
        <w:rPr>
          <w:rFonts w:hint="eastAsia" w:ascii="仿宋" w:hAnsi="仿宋" w:eastAsia="仿宋" w:cs="仿宋"/>
          <w:b/>
          <w:bCs w:val="0"/>
          <w:sz w:val="32"/>
          <w:szCs w:val="32"/>
        </w:rPr>
        <w:t>十、高校教学质量管理及保障、监控机制和体系研究</w:t>
      </w:r>
    </w:p>
    <w:p>
      <w:pPr>
        <w:adjustRightInd w:val="0"/>
        <w:snapToGrid w:val="0"/>
        <w:spacing w:line="360" w:lineRule="auto"/>
        <w:ind w:firstLine="640" w:firstLineChars="200"/>
        <w:rPr>
          <w:rFonts w:hint="eastAsia" w:ascii="仿宋" w:hAnsi="仿宋" w:eastAsia="仿宋" w:cs="仿宋"/>
          <w:b w:val="0"/>
          <w:bCs/>
          <w:sz w:val="32"/>
          <w:szCs w:val="32"/>
        </w:rPr>
      </w:pPr>
      <w:r>
        <w:rPr>
          <w:rFonts w:hint="eastAsia" w:ascii="仿宋" w:hAnsi="仿宋" w:eastAsia="仿宋" w:cs="仿宋"/>
          <w:b w:val="0"/>
          <w:bCs/>
          <w:sz w:val="32"/>
          <w:szCs w:val="32"/>
        </w:rPr>
        <w:t>本科专业类教学质量国家标准实施研究与实践</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加强学风建设</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提升学业挑战度</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强化人才培养方案、教学过程和教学考核等方面的质量要求</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引导激励学生刻苦学习</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完善学业考评制度等方面的研究与实践</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高校严格课堂教学管理与课堂改革方面的研究与实践</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专业人才培养评价标准体系构建研究与实践</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教学状态和教学质量监测的常态化、信息化研究与实践</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高校本科教学工作合格评估和审核评估研究</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高校教学质量管理体制、质量监控体系和保障体系的研究</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高等学校教学质量标准体系建设</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本科人才培养质量评价体系及评价方法研究</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高校专业认证、课程评估研究</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高校教学督导工作研究等。</w:t>
      </w:r>
    </w:p>
    <w:p>
      <w:pPr>
        <w:adjustRightInd w:val="0"/>
        <w:snapToGrid w:val="0"/>
        <w:spacing w:line="360" w:lineRule="auto"/>
        <w:ind w:firstLine="643" w:firstLineChars="200"/>
        <w:rPr>
          <w:rFonts w:hint="eastAsia" w:ascii="仿宋" w:hAnsi="仿宋" w:eastAsia="仿宋" w:cs="仿宋"/>
          <w:b/>
          <w:bCs w:val="0"/>
          <w:sz w:val="32"/>
          <w:szCs w:val="32"/>
        </w:rPr>
      </w:pPr>
      <w:r>
        <w:rPr>
          <w:rFonts w:hint="eastAsia" w:ascii="仿宋" w:hAnsi="仿宋" w:eastAsia="仿宋" w:cs="仿宋"/>
          <w:b/>
          <w:bCs w:val="0"/>
          <w:sz w:val="32"/>
          <w:szCs w:val="32"/>
        </w:rPr>
        <w:t>十一、智慧教育与高等教育教学数字化体系</w:t>
      </w:r>
    </w:p>
    <w:p>
      <w:pPr>
        <w:adjustRightInd w:val="0"/>
        <w:snapToGrid w:val="0"/>
        <w:spacing w:line="360" w:lineRule="auto"/>
        <w:ind w:firstLine="640" w:firstLineChars="200"/>
        <w:rPr>
          <w:rFonts w:hint="eastAsia" w:ascii="仿宋" w:hAnsi="仿宋" w:eastAsia="仿宋" w:cs="仿宋"/>
          <w:b w:val="0"/>
          <w:bCs/>
          <w:sz w:val="32"/>
          <w:szCs w:val="32"/>
        </w:rPr>
      </w:pPr>
      <w:r>
        <w:rPr>
          <w:rFonts w:hint="eastAsia" w:ascii="仿宋" w:hAnsi="仿宋" w:eastAsia="仿宋" w:cs="仿宋"/>
          <w:b w:val="0"/>
          <w:bCs/>
          <w:sz w:val="32"/>
          <w:szCs w:val="32"/>
        </w:rPr>
        <w:t>高等教育教学数字化体系研究</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信息技术与教育教学的深度融合如微课、在线开放课程建设、翻转课堂等方面研究</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虚拟仿真教学实验、课程思政数字化资源库、教学案例库、人才培养教学资源库等教学资源平台建设与管理</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虚拟教研室信息平台建设</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学习过程大数据分析、打造智慧学习社区等研究</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教学管理数字化、信息化建设研究与实践</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现代信息网络技术在教学中的运用、现代远程高等教育教学体系的构建及管理研究。</w:t>
      </w:r>
    </w:p>
    <w:p>
      <w:pPr>
        <w:adjustRightInd w:val="0"/>
        <w:snapToGrid w:val="0"/>
        <w:spacing w:line="360" w:lineRule="auto"/>
        <w:ind w:firstLine="643" w:firstLineChars="200"/>
        <w:rPr>
          <w:rFonts w:hint="eastAsia" w:ascii="仿宋" w:hAnsi="仿宋" w:eastAsia="仿宋" w:cs="仿宋"/>
          <w:b/>
          <w:bCs w:val="0"/>
          <w:sz w:val="32"/>
          <w:szCs w:val="32"/>
        </w:rPr>
      </w:pPr>
      <w:r>
        <w:rPr>
          <w:rFonts w:hint="eastAsia" w:ascii="仿宋" w:hAnsi="仿宋" w:eastAsia="仿宋" w:cs="仿宋"/>
          <w:b/>
          <w:bCs w:val="0"/>
          <w:sz w:val="32"/>
          <w:szCs w:val="32"/>
        </w:rPr>
        <w:t>十二、研究生教育教学改革</w:t>
      </w:r>
    </w:p>
    <w:p>
      <w:pPr>
        <w:adjustRightInd w:val="0"/>
        <w:snapToGrid w:val="0"/>
        <w:spacing w:line="360" w:lineRule="auto"/>
        <w:ind w:firstLine="640" w:firstLineChars="200"/>
        <w:rPr>
          <w:rFonts w:hint="eastAsia" w:ascii="仿宋" w:hAnsi="仿宋" w:eastAsia="仿宋" w:cs="仿宋"/>
          <w:b w:val="0"/>
          <w:bCs/>
          <w:sz w:val="32"/>
          <w:szCs w:val="32"/>
        </w:rPr>
      </w:pPr>
      <w:r>
        <w:rPr>
          <w:rFonts w:hint="eastAsia" w:ascii="仿宋" w:hAnsi="仿宋" w:eastAsia="仿宋" w:cs="仿宋"/>
          <w:b w:val="0"/>
          <w:bCs/>
          <w:sz w:val="32"/>
          <w:szCs w:val="32"/>
        </w:rPr>
        <w:t>学位与研究生教育基本理论研究</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学位与研究生教育重大改革试点项目研究与实践</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研究生教育国际合作现状与发展研究</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学术学位与专业学位研究生教育协调发展研究与实践</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学科建设与研究生培养及其质量保证研究与实践</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学科及学位授权点建设绩效评估研究</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研究生分类、分层培养模式改革研究与实践</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协同创新、跨学科及联合培养机制研究</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研究生课程体系建设研究</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专业学位研究生案例教学和案例库建设研究</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导师队伍建设及导师队伍遴选、聘任机制研究</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研究生教育质量保证体系建设规范、监督体系研究</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学风建设与学术规范教育研究等。</w:t>
      </w:r>
      <w:bookmarkStart w:id="0" w:name="_GoBack"/>
      <w:bookmarkEnd w:id="0"/>
    </w:p>
    <w:p>
      <w:pPr>
        <w:adjustRightInd w:val="0"/>
        <w:snapToGrid w:val="0"/>
        <w:spacing w:line="360" w:lineRule="auto"/>
        <w:ind w:firstLine="560" w:firstLineChars="200"/>
        <w:rPr>
          <w:rFonts w:ascii="仿宋" w:hAnsi="仿宋" w:eastAsia="仿宋"/>
          <w:sz w:val="28"/>
          <w:szCs w:val="28"/>
        </w:rPr>
      </w:pPr>
    </w:p>
    <w:p>
      <w:pPr>
        <w:spacing w:line="560" w:lineRule="exact"/>
        <w:ind w:firstLine="420" w:firstLineChars="200"/>
        <w:jc w:val="center"/>
        <w:rPr>
          <w:rFonts w:ascii="仿宋" w:hAnsi="仿宋" w:eastAsia="仿宋"/>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JiNTg0NGRjZTZkOGI4N2M5NzZmNDM5Mzc2YmQyNzgifQ=="/>
  </w:docVars>
  <w:rsids>
    <w:rsidRoot w:val="00555CA2"/>
    <w:rsid w:val="0000025F"/>
    <w:rsid w:val="00024135"/>
    <w:rsid w:val="00040D30"/>
    <w:rsid w:val="000901D8"/>
    <w:rsid w:val="002A4C25"/>
    <w:rsid w:val="002B11EB"/>
    <w:rsid w:val="002D7584"/>
    <w:rsid w:val="003969E5"/>
    <w:rsid w:val="003B7F7C"/>
    <w:rsid w:val="003C4B14"/>
    <w:rsid w:val="004730E3"/>
    <w:rsid w:val="004C2CB1"/>
    <w:rsid w:val="00555CA2"/>
    <w:rsid w:val="005A3EBC"/>
    <w:rsid w:val="005C1B19"/>
    <w:rsid w:val="00640BC5"/>
    <w:rsid w:val="006A1395"/>
    <w:rsid w:val="00704421"/>
    <w:rsid w:val="00755A7C"/>
    <w:rsid w:val="007855AF"/>
    <w:rsid w:val="00850146"/>
    <w:rsid w:val="0090753C"/>
    <w:rsid w:val="009478C4"/>
    <w:rsid w:val="009A53E6"/>
    <w:rsid w:val="009D1539"/>
    <w:rsid w:val="00A03557"/>
    <w:rsid w:val="00A05D30"/>
    <w:rsid w:val="00A20499"/>
    <w:rsid w:val="00A341AE"/>
    <w:rsid w:val="00A74EC2"/>
    <w:rsid w:val="00A9523C"/>
    <w:rsid w:val="00AE2D7A"/>
    <w:rsid w:val="00C037D1"/>
    <w:rsid w:val="00C3231B"/>
    <w:rsid w:val="00C769E7"/>
    <w:rsid w:val="00C82FA5"/>
    <w:rsid w:val="00CB5944"/>
    <w:rsid w:val="00D40573"/>
    <w:rsid w:val="00D609A4"/>
    <w:rsid w:val="00DF03D1"/>
    <w:rsid w:val="00E83AEC"/>
    <w:rsid w:val="00EA462F"/>
    <w:rsid w:val="00EF6D9D"/>
    <w:rsid w:val="00F312DC"/>
    <w:rsid w:val="00F603FE"/>
    <w:rsid w:val="00F768FC"/>
    <w:rsid w:val="00F96944"/>
    <w:rsid w:val="00FD65EC"/>
    <w:rsid w:val="07AC699C"/>
    <w:rsid w:val="112100E9"/>
    <w:rsid w:val="180A4B7C"/>
    <w:rsid w:val="4FA725A9"/>
    <w:rsid w:val="67074F7A"/>
    <w:rsid w:val="6E495BC0"/>
    <w:rsid w:val="74EE6E7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5</Pages>
  <Words>2928</Words>
  <Characters>2933</Characters>
  <Lines>21</Lines>
  <Paragraphs>5</Paragraphs>
  <TotalTime>2</TotalTime>
  <ScaleCrop>false</ScaleCrop>
  <LinksUpToDate>false</LinksUpToDate>
  <CharactersWithSpaces>2935</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2022-04-25T01:06:00Z</dcterms:created>
  <dc:creator>Sky123.Org</dc:creator>
  <cp:lastModifiedBy>a qu a</cp:lastModifiedBy>
  <dcterms:modified xsi:type="dcterms:W3CDTF">2022-05-18T08:33:42Z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885C18452E50415AA320D85CF032F39D</vt:lpwstr>
  </property>
</Properties>
</file>