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left"/>
        <w:rPr>
          <w:rFonts w:ascii="方正小标宋简体" w:hAnsi="Times New Roman" w:eastAsia="方正小标宋简体" w:cs="Times New Roman"/>
          <w:color w:val="000000"/>
          <w:sz w:val="32"/>
          <w:szCs w:val="32"/>
        </w:rPr>
      </w:pPr>
      <w:r>
        <w:rPr>
          <w:rFonts w:hint="eastAsia" w:ascii="方正小标宋简体" w:hAnsi="Times New Roman" w:eastAsia="方正小标宋简体" w:cs="Times New Roman"/>
          <w:color w:val="000000"/>
          <w:sz w:val="32"/>
          <w:szCs w:val="32"/>
        </w:rPr>
        <w:t>3、高校基层教学组织建设专题网络培训课程列表</w:t>
      </w:r>
    </w:p>
    <w:tbl>
      <w:tblPr>
        <w:tblStyle w:val="7"/>
        <w:tblW w:w="910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91"/>
        <w:gridCol w:w="87"/>
        <w:gridCol w:w="920"/>
        <w:gridCol w:w="87"/>
        <w:gridCol w:w="2853"/>
        <w:gridCol w:w="87"/>
        <w:gridCol w:w="98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178" w:type="dxa"/>
            <w:gridSpan w:val="2"/>
            <w:shd w:val="clear" w:color="auto" w:fill="D8D8D8"/>
            <w:vAlign w:val="center"/>
          </w:tcPr>
          <w:p>
            <w:pPr>
              <w:widowControl/>
              <w:jc w:val="center"/>
              <w:textAlignment w:val="center"/>
              <w:rPr>
                <w:rFonts w:ascii="黑体" w:hAnsi="黑体" w:eastAsia="黑体" w:cs="黑体"/>
                <w:bCs/>
                <w:color w:val="000000"/>
                <w:sz w:val="24"/>
              </w:rPr>
            </w:pPr>
            <w:r>
              <w:rPr>
                <w:rFonts w:hint="eastAsia" w:ascii="黑体" w:hAnsi="黑体" w:eastAsia="黑体" w:cs="黑体"/>
                <w:bCs/>
                <w:color w:val="000000"/>
                <w:kern w:val="0"/>
                <w:sz w:val="24"/>
                <w:lang w:bidi="ar"/>
              </w:rPr>
              <w:t>课程列表</w:t>
            </w:r>
          </w:p>
        </w:tc>
        <w:tc>
          <w:tcPr>
            <w:tcW w:w="1007" w:type="dxa"/>
            <w:gridSpan w:val="2"/>
            <w:shd w:val="clear" w:color="auto" w:fill="D8D8D8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黑体" w:hAnsi="黑体" w:eastAsia="黑体" w:cs="黑体"/>
                <w:bCs/>
                <w:color w:val="000000"/>
                <w:sz w:val="24"/>
              </w:rPr>
            </w:pPr>
            <w:r>
              <w:rPr>
                <w:rFonts w:hint="eastAsia" w:ascii="黑体" w:hAnsi="黑体" w:eastAsia="黑体" w:cs="黑体"/>
                <w:bCs/>
                <w:color w:val="000000"/>
                <w:kern w:val="0"/>
                <w:sz w:val="24"/>
                <w:lang w:bidi="ar"/>
              </w:rPr>
              <w:t>主讲人</w:t>
            </w:r>
          </w:p>
        </w:tc>
        <w:tc>
          <w:tcPr>
            <w:tcW w:w="2940" w:type="dxa"/>
            <w:gridSpan w:val="2"/>
            <w:shd w:val="clear" w:color="auto" w:fill="D8D8D8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黑体" w:hAnsi="黑体" w:eastAsia="黑体" w:cs="黑体"/>
                <w:bCs/>
                <w:color w:val="000000"/>
                <w:sz w:val="24"/>
              </w:rPr>
            </w:pPr>
            <w:r>
              <w:rPr>
                <w:rFonts w:hint="eastAsia" w:ascii="黑体" w:hAnsi="黑体" w:eastAsia="黑体" w:cs="黑体"/>
                <w:bCs/>
                <w:color w:val="000000"/>
                <w:kern w:val="0"/>
                <w:sz w:val="24"/>
                <w:lang w:bidi="ar"/>
              </w:rPr>
              <w:t>职务职称</w:t>
            </w:r>
          </w:p>
        </w:tc>
        <w:tc>
          <w:tcPr>
            <w:tcW w:w="983" w:type="dxa"/>
            <w:shd w:val="clear" w:color="auto" w:fill="D8D8D8"/>
            <w:vAlign w:val="center"/>
          </w:tcPr>
          <w:p>
            <w:pPr>
              <w:widowControl/>
              <w:jc w:val="center"/>
              <w:textAlignment w:val="center"/>
              <w:rPr>
                <w:rFonts w:ascii="黑体" w:hAnsi="黑体" w:eastAsia="黑体" w:cs="黑体"/>
                <w:bCs/>
                <w:color w:val="000000"/>
                <w:sz w:val="24"/>
              </w:rPr>
            </w:pPr>
            <w:r>
              <w:rPr>
                <w:rFonts w:hint="eastAsia" w:ascii="黑体" w:hAnsi="黑体" w:eastAsia="黑体" w:cs="黑体"/>
                <w:bCs/>
                <w:color w:val="000000"/>
                <w:kern w:val="0"/>
                <w:sz w:val="24"/>
                <w:lang w:bidi="ar"/>
              </w:rPr>
              <w:t>时长(分钟)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108" w:type="dxa"/>
            <w:gridSpan w:val="7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黑体" w:hAnsi="黑体" w:eastAsia="黑体" w:cs="黑体"/>
                <w:bCs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黑体" w:hAnsi="黑体" w:eastAsia="黑体" w:cs="黑体"/>
                <w:bCs/>
                <w:color w:val="000000"/>
                <w:kern w:val="0"/>
                <w:sz w:val="24"/>
                <w:lang w:bidi="ar"/>
              </w:rPr>
              <w:t>基层教学组织现状与问题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178" w:type="dxa"/>
            <w:gridSpan w:val="2"/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高校基层教学组织建设的时代背景和历史使命</w:t>
            </w:r>
          </w:p>
        </w:tc>
        <w:tc>
          <w:tcPr>
            <w:tcW w:w="1007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司  莉</w:t>
            </w:r>
          </w:p>
        </w:tc>
        <w:tc>
          <w:tcPr>
            <w:tcW w:w="2940" w:type="dxa"/>
            <w:gridSpan w:val="2"/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河南财经政法大学法学院教授</w:t>
            </w:r>
          </w:p>
        </w:tc>
        <w:tc>
          <w:tcPr>
            <w:tcW w:w="983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49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178" w:type="dxa"/>
            <w:gridSpan w:val="2"/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高校教研室的改革与发展</w:t>
            </w:r>
          </w:p>
        </w:tc>
        <w:tc>
          <w:tcPr>
            <w:tcW w:w="1007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付八军</w:t>
            </w:r>
          </w:p>
        </w:tc>
        <w:tc>
          <w:tcPr>
            <w:tcW w:w="2940" w:type="dxa"/>
            <w:gridSpan w:val="2"/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绍兴文理学院教师教育学院教授</w:t>
            </w:r>
          </w:p>
        </w:tc>
        <w:tc>
          <w:tcPr>
            <w:tcW w:w="983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51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178" w:type="dxa"/>
            <w:gridSpan w:val="2"/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大学基层教学组织的现状与问题</w:t>
            </w:r>
          </w:p>
        </w:tc>
        <w:tc>
          <w:tcPr>
            <w:tcW w:w="1007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汤  智</w:t>
            </w:r>
          </w:p>
        </w:tc>
        <w:tc>
          <w:tcPr>
            <w:tcW w:w="2940" w:type="dxa"/>
            <w:gridSpan w:val="2"/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浙江工业大学教务处副处长、教授</w:t>
            </w:r>
          </w:p>
        </w:tc>
        <w:tc>
          <w:tcPr>
            <w:tcW w:w="983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18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178" w:type="dxa"/>
            <w:gridSpan w:val="2"/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大学重建基层教学组织的必要性</w:t>
            </w:r>
          </w:p>
        </w:tc>
        <w:tc>
          <w:tcPr>
            <w:tcW w:w="1007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汤  智</w:t>
            </w:r>
          </w:p>
        </w:tc>
        <w:tc>
          <w:tcPr>
            <w:tcW w:w="2940" w:type="dxa"/>
            <w:gridSpan w:val="2"/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浙江工业大学教务处副处长、教授</w:t>
            </w:r>
          </w:p>
        </w:tc>
        <w:tc>
          <w:tcPr>
            <w:tcW w:w="983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18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178" w:type="dxa"/>
            <w:gridSpan w:val="2"/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基层教学组织的各种形式</w:t>
            </w:r>
          </w:p>
        </w:tc>
        <w:tc>
          <w:tcPr>
            <w:tcW w:w="1007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陈庆章</w:t>
            </w:r>
          </w:p>
        </w:tc>
        <w:tc>
          <w:tcPr>
            <w:tcW w:w="2940" w:type="dxa"/>
            <w:gridSpan w:val="2"/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浙江工业大学计算机科学与技术学院教授</w:t>
            </w:r>
          </w:p>
        </w:tc>
        <w:tc>
          <w:tcPr>
            <w:tcW w:w="983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53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108" w:type="dxa"/>
            <w:gridSpan w:val="7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黑体" w:hAnsi="黑体" w:eastAsia="黑体" w:cs="黑体"/>
                <w:bCs/>
                <w:color w:val="000000"/>
                <w:kern w:val="0"/>
                <w:sz w:val="24"/>
                <w:lang w:bidi="ar"/>
              </w:rPr>
              <w:t>基层教学组织建设方法与路径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178" w:type="dxa"/>
            <w:gridSpan w:val="2"/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新时代大学基层教学组织如何重建</w:t>
            </w:r>
          </w:p>
        </w:tc>
        <w:tc>
          <w:tcPr>
            <w:tcW w:w="1007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汤  智</w:t>
            </w:r>
          </w:p>
        </w:tc>
        <w:tc>
          <w:tcPr>
            <w:tcW w:w="2940" w:type="dxa"/>
            <w:gridSpan w:val="2"/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浙江工业大学教务处副处长</w:t>
            </w:r>
          </w:p>
        </w:tc>
        <w:tc>
          <w:tcPr>
            <w:tcW w:w="983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178" w:type="dxa"/>
            <w:gridSpan w:val="2"/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高校基层教学组织的基本定位和主要任务</w:t>
            </w:r>
          </w:p>
        </w:tc>
        <w:tc>
          <w:tcPr>
            <w:tcW w:w="1007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司  莉</w:t>
            </w:r>
          </w:p>
        </w:tc>
        <w:tc>
          <w:tcPr>
            <w:tcW w:w="2940" w:type="dxa"/>
            <w:gridSpan w:val="2"/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河南财经政法大学法学院教授</w:t>
            </w:r>
          </w:p>
        </w:tc>
        <w:tc>
          <w:tcPr>
            <w:tcW w:w="983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45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4178" w:type="dxa"/>
            <w:gridSpan w:val="2"/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高校基层教学组织建设内容、路径和工作模式</w:t>
            </w:r>
          </w:p>
        </w:tc>
        <w:tc>
          <w:tcPr>
            <w:tcW w:w="1007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司  莉</w:t>
            </w:r>
          </w:p>
        </w:tc>
        <w:tc>
          <w:tcPr>
            <w:tcW w:w="2940" w:type="dxa"/>
            <w:gridSpan w:val="2"/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河南财经政法大学法学院教授</w:t>
            </w:r>
          </w:p>
        </w:tc>
        <w:tc>
          <w:tcPr>
            <w:tcW w:w="983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53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178" w:type="dxa"/>
            <w:gridSpan w:val="2"/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基层教学组织的功能和生命共同体构建</w:t>
            </w:r>
          </w:p>
        </w:tc>
        <w:tc>
          <w:tcPr>
            <w:tcW w:w="1007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陈庆章</w:t>
            </w:r>
          </w:p>
        </w:tc>
        <w:tc>
          <w:tcPr>
            <w:tcW w:w="2940" w:type="dxa"/>
            <w:gridSpan w:val="2"/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浙江工业大学计算机科学与技术学院教授</w:t>
            </w:r>
          </w:p>
        </w:tc>
        <w:tc>
          <w:tcPr>
            <w:tcW w:w="983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22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178" w:type="dxa"/>
            <w:gridSpan w:val="2"/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新时代高校教师党支部组织功能定位与职责任务</w:t>
            </w:r>
          </w:p>
        </w:tc>
        <w:tc>
          <w:tcPr>
            <w:tcW w:w="1007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王三礼</w:t>
            </w:r>
          </w:p>
        </w:tc>
        <w:tc>
          <w:tcPr>
            <w:tcW w:w="2940" w:type="dxa"/>
            <w:gridSpan w:val="2"/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武汉大学党委组织部副部长</w:t>
            </w:r>
          </w:p>
        </w:tc>
        <w:tc>
          <w:tcPr>
            <w:tcW w:w="983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65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108" w:type="dxa"/>
            <w:gridSpan w:val="7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黑体" w:hAnsi="黑体" w:eastAsia="黑体" w:cs="黑体"/>
                <w:bCs/>
                <w:color w:val="000000"/>
                <w:kern w:val="0"/>
                <w:sz w:val="24"/>
                <w:lang w:bidi="ar"/>
              </w:rPr>
              <w:t>基层教学组织关键事务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178" w:type="dxa"/>
            <w:gridSpan w:val="2"/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新时代教师队伍建设新策略</w:t>
            </w:r>
          </w:p>
        </w:tc>
        <w:tc>
          <w:tcPr>
            <w:tcW w:w="1007" w:type="dxa"/>
            <w:gridSpan w:val="2"/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高书国</w:t>
            </w:r>
          </w:p>
        </w:tc>
        <w:tc>
          <w:tcPr>
            <w:tcW w:w="2940" w:type="dxa"/>
            <w:gridSpan w:val="2"/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中国教育学会副秘书长</w:t>
            </w:r>
          </w:p>
        </w:tc>
        <w:tc>
          <w:tcPr>
            <w:tcW w:w="983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75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178" w:type="dxa"/>
            <w:gridSpan w:val="2"/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构建有效的研究方式，促进教师专业发展</w:t>
            </w:r>
          </w:p>
        </w:tc>
        <w:tc>
          <w:tcPr>
            <w:tcW w:w="1007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傅树京</w:t>
            </w:r>
          </w:p>
        </w:tc>
        <w:tc>
          <w:tcPr>
            <w:tcW w:w="2940" w:type="dxa"/>
            <w:gridSpan w:val="2"/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首都师范大学教育学院教授</w:t>
            </w:r>
          </w:p>
        </w:tc>
        <w:tc>
          <w:tcPr>
            <w:tcW w:w="983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102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178" w:type="dxa"/>
            <w:gridSpan w:val="2"/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国际视野下的高校教师教学发展变革与实践</w:t>
            </w:r>
          </w:p>
        </w:tc>
        <w:tc>
          <w:tcPr>
            <w:tcW w:w="1007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王立科</w:t>
            </w:r>
          </w:p>
        </w:tc>
        <w:tc>
          <w:tcPr>
            <w:tcW w:w="2940" w:type="dxa"/>
            <w:gridSpan w:val="2"/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上海交通大学教学发展中心主任助理</w:t>
            </w:r>
          </w:p>
        </w:tc>
        <w:tc>
          <w:tcPr>
            <w:tcW w:w="983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95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178" w:type="dxa"/>
            <w:gridSpan w:val="2"/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基层教学组织要着力于课程建设和有效管理</w:t>
            </w:r>
          </w:p>
        </w:tc>
        <w:tc>
          <w:tcPr>
            <w:tcW w:w="1007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陈庆章</w:t>
            </w:r>
          </w:p>
        </w:tc>
        <w:tc>
          <w:tcPr>
            <w:tcW w:w="2940" w:type="dxa"/>
            <w:gridSpan w:val="2"/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浙江工业大学计算机科学与技术学院教授</w:t>
            </w:r>
          </w:p>
        </w:tc>
        <w:tc>
          <w:tcPr>
            <w:tcW w:w="983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28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178" w:type="dxa"/>
            <w:gridSpan w:val="2"/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正确认识教学学术的内涵与本质</w:t>
            </w:r>
          </w:p>
        </w:tc>
        <w:tc>
          <w:tcPr>
            <w:tcW w:w="1007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熊庆年</w:t>
            </w:r>
          </w:p>
        </w:tc>
        <w:tc>
          <w:tcPr>
            <w:tcW w:w="2940" w:type="dxa"/>
            <w:gridSpan w:val="2"/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复旦大学高等教育研究所原所长</w:t>
            </w:r>
          </w:p>
        </w:tc>
        <w:tc>
          <w:tcPr>
            <w:tcW w:w="983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178" w:type="dxa"/>
            <w:gridSpan w:val="2"/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一流课程申报材料撰写与案例分享</w:t>
            </w:r>
          </w:p>
        </w:tc>
        <w:tc>
          <w:tcPr>
            <w:tcW w:w="1007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余建波</w:t>
            </w:r>
          </w:p>
        </w:tc>
        <w:tc>
          <w:tcPr>
            <w:tcW w:w="2940" w:type="dxa"/>
            <w:gridSpan w:val="2"/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上海交通大学慕课研究院院长助理</w:t>
            </w:r>
          </w:p>
        </w:tc>
        <w:tc>
          <w:tcPr>
            <w:tcW w:w="983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color w:val="000000"/>
                <w:sz w:val="22"/>
                <w:szCs w:val="22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103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108" w:type="dxa"/>
            <w:gridSpan w:val="7"/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rFonts w:ascii="Times New Roman" w:hAnsi="Times New Roman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黑体" w:hAnsi="黑体" w:eastAsia="黑体" w:cs="黑体"/>
                <w:bCs/>
                <w:color w:val="000000"/>
                <w:kern w:val="0"/>
                <w:sz w:val="24"/>
                <w:lang w:bidi="ar"/>
              </w:rPr>
              <w:t>基层教学组织负责人通用能力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091" w:type="dxa"/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领导力与团队建设</w:t>
            </w:r>
          </w:p>
        </w:tc>
        <w:tc>
          <w:tcPr>
            <w:tcW w:w="1007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刘旭涛</w:t>
            </w:r>
          </w:p>
        </w:tc>
        <w:tc>
          <w:tcPr>
            <w:tcW w:w="2940" w:type="dxa"/>
            <w:gridSpan w:val="2"/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中共中央党校（国家行政学院）公共管理教研部教授</w:t>
            </w:r>
          </w:p>
        </w:tc>
        <w:tc>
          <w:tcPr>
            <w:tcW w:w="1070" w:type="dxa"/>
            <w:gridSpan w:val="2"/>
            <w:shd w:val="clear" w:color="auto" w:fill="auto"/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121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091" w:type="dxa"/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执行力提升</w:t>
            </w:r>
          </w:p>
        </w:tc>
        <w:tc>
          <w:tcPr>
            <w:tcW w:w="1007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张国玉</w:t>
            </w:r>
          </w:p>
        </w:tc>
        <w:tc>
          <w:tcPr>
            <w:tcW w:w="2940" w:type="dxa"/>
            <w:gridSpan w:val="2"/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原中共中央党校（国家行政学院）政治学教研部教授</w:t>
            </w:r>
          </w:p>
        </w:tc>
        <w:tc>
          <w:tcPr>
            <w:tcW w:w="1070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123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091" w:type="dxa"/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沟通艺术</w:t>
            </w:r>
          </w:p>
        </w:tc>
        <w:tc>
          <w:tcPr>
            <w:tcW w:w="1007" w:type="dxa"/>
            <w:gridSpan w:val="2"/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姚小玲</w:t>
            </w:r>
          </w:p>
        </w:tc>
        <w:tc>
          <w:tcPr>
            <w:tcW w:w="2940" w:type="dxa"/>
            <w:gridSpan w:val="2"/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北京航空航天大学人文社会科学学院教授</w:t>
            </w:r>
          </w:p>
        </w:tc>
        <w:tc>
          <w:tcPr>
            <w:tcW w:w="1070" w:type="dxa"/>
            <w:gridSpan w:val="2"/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82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091" w:type="dxa"/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人际关系的建立与调适</w:t>
            </w:r>
          </w:p>
        </w:tc>
        <w:tc>
          <w:tcPr>
            <w:tcW w:w="1007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樊富珉</w:t>
            </w:r>
          </w:p>
        </w:tc>
        <w:tc>
          <w:tcPr>
            <w:tcW w:w="2940" w:type="dxa"/>
            <w:gridSpan w:val="2"/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清华大学积极心理学研究中心主任</w:t>
            </w:r>
          </w:p>
        </w:tc>
        <w:tc>
          <w:tcPr>
            <w:tcW w:w="1070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52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091" w:type="dxa"/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压力管理与心理健康促进</w:t>
            </w:r>
          </w:p>
        </w:tc>
        <w:tc>
          <w:tcPr>
            <w:tcW w:w="1007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樊富珉</w:t>
            </w:r>
          </w:p>
        </w:tc>
        <w:tc>
          <w:tcPr>
            <w:tcW w:w="2940" w:type="dxa"/>
            <w:gridSpan w:val="2"/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清华大学积极心理学研究中心主任</w:t>
            </w:r>
          </w:p>
        </w:tc>
        <w:tc>
          <w:tcPr>
            <w:tcW w:w="1070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142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108" w:type="dxa"/>
            <w:gridSpan w:val="7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黑体" w:hAnsi="黑体" w:eastAsia="黑体" w:cs="黑体"/>
                <w:bCs/>
                <w:color w:val="000000"/>
                <w:kern w:val="0"/>
                <w:sz w:val="24"/>
                <w:lang w:bidi="ar"/>
              </w:rPr>
              <w:t>培养体系改革与教学研究创新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091" w:type="dxa"/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高校金课建设的顶层设计——人才培养体系和课程地图</w:t>
            </w:r>
          </w:p>
        </w:tc>
        <w:tc>
          <w:tcPr>
            <w:tcW w:w="1007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戚世梁</w:t>
            </w:r>
          </w:p>
        </w:tc>
        <w:tc>
          <w:tcPr>
            <w:tcW w:w="2940" w:type="dxa"/>
            <w:gridSpan w:val="2"/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西安欧亚学院校级高级顾问、首席培训师</w:t>
            </w:r>
          </w:p>
        </w:tc>
        <w:tc>
          <w:tcPr>
            <w:tcW w:w="1070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153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091" w:type="dxa"/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基于OBE理念的人才培养体系建设</w:t>
            </w:r>
          </w:p>
        </w:tc>
        <w:tc>
          <w:tcPr>
            <w:tcW w:w="1007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孙建荣</w:t>
            </w:r>
          </w:p>
        </w:tc>
        <w:tc>
          <w:tcPr>
            <w:tcW w:w="2940" w:type="dxa"/>
            <w:gridSpan w:val="2"/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澳门科技大学协理副校长、教授</w:t>
            </w:r>
          </w:p>
        </w:tc>
        <w:tc>
          <w:tcPr>
            <w:tcW w:w="1070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98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091" w:type="dxa"/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面向应用型人才培养的学科、专业和课程</w:t>
            </w:r>
          </w:p>
        </w:tc>
        <w:tc>
          <w:tcPr>
            <w:tcW w:w="1007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叶飞帆</w:t>
            </w:r>
          </w:p>
        </w:tc>
        <w:tc>
          <w:tcPr>
            <w:tcW w:w="2940" w:type="dxa"/>
            <w:gridSpan w:val="2"/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宁波大学高等教育研究所教授</w:t>
            </w:r>
          </w:p>
        </w:tc>
        <w:tc>
          <w:tcPr>
            <w:tcW w:w="1070" w:type="dxa"/>
            <w:gridSpan w:val="2"/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59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091" w:type="dxa"/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正确认识教学学术的内涵与本质</w:t>
            </w:r>
          </w:p>
        </w:tc>
        <w:tc>
          <w:tcPr>
            <w:tcW w:w="1007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熊庆年</w:t>
            </w:r>
          </w:p>
        </w:tc>
        <w:tc>
          <w:tcPr>
            <w:tcW w:w="2940" w:type="dxa"/>
            <w:gridSpan w:val="2"/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复旦大学高等教育研究所原所长</w:t>
            </w:r>
          </w:p>
        </w:tc>
        <w:tc>
          <w:tcPr>
            <w:tcW w:w="1070" w:type="dxa"/>
            <w:gridSpan w:val="2"/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091" w:type="dxa"/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教学学术研究的选题申请与应用实践</w:t>
            </w:r>
          </w:p>
        </w:tc>
        <w:tc>
          <w:tcPr>
            <w:tcW w:w="1007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于歆杰</w:t>
            </w:r>
          </w:p>
        </w:tc>
        <w:tc>
          <w:tcPr>
            <w:tcW w:w="2940" w:type="dxa"/>
            <w:gridSpan w:val="2"/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清华大学电机系教授</w:t>
            </w:r>
          </w:p>
        </w:tc>
        <w:tc>
          <w:tcPr>
            <w:tcW w:w="1070" w:type="dxa"/>
            <w:gridSpan w:val="2"/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122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091" w:type="dxa"/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国家级教学成果奖的透析与培育</w:t>
            </w:r>
          </w:p>
        </w:tc>
        <w:tc>
          <w:tcPr>
            <w:tcW w:w="1007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邱化民</w:t>
            </w:r>
          </w:p>
        </w:tc>
        <w:tc>
          <w:tcPr>
            <w:tcW w:w="2940" w:type="dxa"/>
            <w:gridSpan w:val="2"/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北京师范大学教育学部学生办主任</w:t>
            </w:r>
          </w:p>
        </w:tc>
        <w:tc>
          <w:tcPr>
            <w:tcW w:w="1070" w:type="dxa"/>
            <w:gridSpan w:val="2"/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39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091" w:type="dxa"/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教学成果奖凝练体会与案例</w:t>
            </w:r>
          </w:p>
        </w:tc>
        <w:tc>
          <w:tcPr>
            <w:tcW w:w="1007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陆国栋</w:t>
            </w:r>
          </w:p>
        </w:tc>
        <w:tc>
          <w:tcPr>
            <w:tcW w:w="2940" w:type="dxa"/>
            <w:gridSpan w:val="2"/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浙江大学机器人研究院常务副院长、教授</w:t>
            </w:r>
          </w:p>
        </w:tc>
        <w:tc>
          <w:tcPr>
            <w:tcW w:w="1070" w:type="dxa"/>
            <w:gridSpan w:val="2"/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lang w:bidi="ar"/>
              </w:rPr>
              <w:t>49</w:t>
            </w:r>
          </w:p>
        </w:tc>
      </w:tr>
    </w:tbl>
    <w:p>
      <w:pPr>
        <w:spacing w:before="156" w:beforeLines="50"/>
        <w:jc w:val="left"/>
        <w:rPr>
          <w:rFonts w:ascii="Times New Roman" w:hAnsi="Times New Roman" w:eastAsia="仿宋" w:cs="Times New Roman"/>
          <w:szCs w:val="22"/>
        </w:rPr>
      </w:pPr>
      <w:r>
        <w:rPr>
          <w:rFonts w:ascii="Times New Roman" w:hAnsi="Times New Roman" w:eastAsia="仿宋" w:cs="Times New Roman"/>
          <w:b/>
          <w:szCs w:val="22"/>
        </w:rPr>
        <w:t>注：</w:t>
      </w:r>
      <w:r>
        <w:rPr>
          <w:rFonts w:ascii="Times New Roman" w:hAnsi="Times New Roman" w:eastAsia="仿宋" w:cs="Times New Roman"/>
          <w:bCs/>
          <w:szCs w:val="22"/>
        </w:rPr>
        <w:t>1.</w:t>
      </w:r>
      <w:r>
        <w:rPr>
          <w:rFonts w:ascii="Times New Roman" w:hAnsi="Times New Roman" w:eastAsia="仿宋" w:cs="Times New Roman"/>
          <w:szCs w:val="22"/>
        </w:rPr>
        <w:t>个别课程或稍有调整，请以平台最终发布课程为准；</w:t>
      </w:r>
    </w:p>
    <w:p>
      <w:pPr>
        <w:jc w:val="left"/>
        <w:rPr>
          <w:rFonts w:ascii="Times New Roman" w:hAnsi="Times New Roman" w:eastAsia="仿宋" w:cs="Times New Roman"/>
          <w:szCs w:val="22"/>
        </w:rPr>
      </w:pPr>
      <w:r>
        <w:rPr>
          <w:rFonts w:ascii="Times New Roman" w:hAnsi="Times New Roman" w:eastAsia="仿宋" w:cs="Times New Roman"/>
          <w:szCs w:val="22"/>
        </w:rPr>
        <w:t xml:space="preserve">    2.课程主讲人职务为课程录制时的职务。</w:t>
      </w:r>
    </w:p>
    <w:p>
      <w:bookmarkStart w:id="0" w:name="_GoBack"/>
      <w:bookmarkEnd w:id="0"/>
    </w:p>
    <w:sectPr>
      <w:footerReference r:id="rId3" w:type="default"/>
      <w:pgSz w:w="11906" w:h="16838"/>
      <w:pgMar w:top="1440" w:right="1800" w:bottom="1440" w:left="16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633900507"/>
    </w:sdtPr>
    <w:sdtContent>
      <w:p>
        <w:pPr>
          <w:pStyle w:val="4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5</w:t>
        </w:r>
        <w:r>
          <w:fldChar w:fldCharType="end"/>
        </w:r>
      </w:p>
    </w:sdtContent>
  </w:sdt>
  <w:p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56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BD2"/>
    <w:rsid w:val="000551E2"/>
    <w:rsid w:val="000828E2"/>
    <w:rsid w:val="000A2B05"/>
    <w:rsid w:val="000C10BD"/>
    <w:rsid w:val="000C4B84"/>
    <w:rsid w:val="00127CF1"/>
    <w:rsid w:val="0013303D"/>
    <w:rsid w:val="00196944"/>
    <w:rsid w:val="001C7261"/>
    <w:rsid w:val="001D2A9D"/>
    <w:rsid w:val="001E6C65"/>
    <w:rsid w:val="0021159F"/>
    <w:rsid w:val="00240F79"/>
    <w:rsid w:val="00293AE0"/>
    <w:rsid w:val="002C29AC"/>
    <w:rsid w:val="002E60FE"/>
    <w:rsid w:val="002F2DD0"/>
    <w:rsid w:val="00304658"/>
    <w:rsid w:val="00332293"/>
    <w:rsid w:val="0038085F"/>
    <w:rsid w:val="00393699"/>
    <w:rsid w:val="003D4840"/>
    <w:rsid w:val="00405236"/>
    <w:rsid w:val="0041706E"/>
    <w:rsid w:val="00481512"/>
    <w:rsid w:val="004E4D3D"/>
    <w:rsid w:val="005011C0"/>
    <w:rsid w:val="005233E2"/>
    <w:rsid w:val="00546789"/>
    <w:rsid w:val="00556D85"/>
    <w:rsid w:val="00591B54"/>
    <w:rsid w:val="00592239"/>
    <w:rsid w:val="00602204"/>
    <w:rsid w:val="00646414"/>
    <w:rsid w:val="00660DD6"/>
    <w:rsid w:val="006E3646"/>
    <w:rsid w:val="006E78B5"/>
    <w:rsid w:val="00704B65"/>
    <w:rsid w:val="007274B9"/>
    <w:rsid w:val="00760A70"/>
    <w:rsid w:val="00765653"/>
    <w:rsid w:val="00786E89"/>
    <w:rsid w:val="007D1ECD"/>
    <w:rsid w:val="007F1F87"/>
    <w:rsid w:val="008315FD"/>
    <w:rsid w:val="00864981"/>
    <w:rsid w:val="008C7D7D"/>
    <w:rsid w:val="00912BD2"/>
    <w:rsid w:val="00915F43"/>
    <w:rsid w:val="00926B0D"/>
    <w:rsid w:val="009820FA"/>
    <w:rsid w:val="009952D9"/>
    <w:rsid w:val="009A39F1"/>
    <w:rsid w:val="009C65BE"/>
    <w:rsid w:val="00A8629E"/>
    <w:rsid w:val="00AA139A"/>
    <w:rsid w:val="00AA51B3"/>
    <w:rsid w:val="00BE69EB"/>
    <w:rsid w:val="00C14561"/>
    <w:rsid w:val="00C27E1D"/>
    <w:rsid w:val="00C54618"/>
    <w:rsid w:val="00C56A0E"/>
    <w:rsid w:val="00C664D1"/>
    <w:rsid w:val="00C719AC"/>
    <w:rsid w:val="00D26F18"/>
    <w:rsid w:val="00D51928"/>
    <w:rsid w:val="00D61745"/>
    <w:rsid w:val="00D62441"/>
    <w:rsid w:val="00D739BC"/>
    <w:rsid w:val="00E14AE2"/>
    <w:rsid w:val="00E2005D"/>
    <w:rsid w:val="00E36045"/>
    <w:rsid w:val="00E4138A"/>
    <w:rsid w:val="00E50F9A"/>
    <w:rsid w:val="00E71651"/>
    <w:rsid w:val="00F6417F"/>
    <w:rsid w:val="00FB3E00"/>
    <w:rsid w:val="00FC49AD"/>
    <w:rsid w:val="04672857"/>
    <w:rsid w:val="04EF5850"/>
    <w:rsid w:val="0562581A"/>
    <w:rsid w:val="077C7453"/>
    <w:rsid w:val="08765192"/>
    <w:rsid w:val="0AA3731A"/>
    <w:rsid w:val="0CD054AB"/>
    <w:rsid w:val="15562CE9"/>
    <w:rsid w:val="1774652E"/>
    <w:rsid w:val="1BCB46AB"/>
    <w:rsid w:val="1EF814A6"/>
    <w:rsid w:val="1F166DF6"/>
    <w:rsid w:val="220A5C15"/>
    <w:rsid w:val="2484268C"/>
    <w:rsid w:val="268031A9"/>
    <w:rsid w:val="2E4E5AB1"/>
    <w:rsid w:val="32A37B72"/>
    <w:rsid w:val="385A3883"/>
    <w:rsid w:val="3B27123C"/>
    <w:rsid w:val="3BC8470E"/>
    <w:rsid w:val="3DA40C85"/>
    <w:rsid w:val="3DE006D9"/>
    <w:rsid w:val="3F3B6048"/>
    <w:rsid w:val="3F8C64BE"/>
    <w:rsid w:val="4018149D"/>
    <w:rsid w:val="41CC6207"/>
    <w:rsid w:val="43130214"/>
    <w:rsid w:val="4510012F"/>
    <w:rsid w:val="46DD7C16"/>
    <w:rsid w:val="49E73261"/>
    <w:rsid w:val="4CD470AF"/>
    <w:rsid w:val="4E011EB9"/>
    <w:rsid w:val="4F9D7987"/>
    <w:rsid w:val="51DE0FB8"/>
    <w:rsid w:val="5524107D"/>
    <w:rsid w:val="59202B0B"/>
    <w:rsid w:val="5A1A0AA4"/>
    <w:rsid w:val="5B4B2B03"/>
    <w:rsid w:val="5C967E15"/>
    <w:rsid w:val="61CA1242"/>
    <w:rsid w:val="67C372C4"/>
    <w:rsid w:val="687E40FC"/>
    <w:rsid w:val="69582626"/>
    <w:rsid w:val="6AB97641"/>
    <w:rsid w:val="6EB32271"/>
    <w:rsid w:val="6FC57DB2"/>
    <w:rsid w:val="70B077B2"/>
    <w:rsid w:val="70D1486C"/>
    <w:rsid w:val="7321262F"/>
    <w:rsid w:val="73CB78EB"/>
    <w:rsid w:val="763679D3"/>
    <w:rsid w:val="76DC35D9"/>
    <w:rsid w:val="77BE55A3"/>
    <w:rsid w:val="7A120771"/>
    <w:rsid w:val="7BFD1FCC"/>
    <w:rsid w:val="7CE452A1"/>
    <w:rsid w:val="7ECA6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4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9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7"/>
    <w:semiHidden/>
    <w:unhideWhenUsed/>
    <w:uiPriority w:val="99"/>
    <w:pPr>
      <w:jc w:val="left"/>
    </w:pPr>
  </w:style>
  <w:style w:type="paragraph" w:styleId="4">
    <w:name w:val="footer"/>
    <w:basedOn w:val="1"/>
    <w:link w:val="13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5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annotation subject"/>
    <w:basedOn w:val="3"/>
    <w:next w:val="3"/>
    <w:link w:val="18"/>
    <w:semiHidden/>
    <w:unhideWhenUsed/>
    <w:uiPriority w:val="99"/>
    <w:rPr>
      <w:b/>
      <w:bCs/>
    </w:rPr>
  </w:style>
  <w:style w:type="table" w:styleId="8">
    <w:name w:val="Table Grid"/>
    <w:basedOn w:val="7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Emphasis"/>
    <w:basedOn w:val="9"/>
    <w:qFormat/>
    <w:uiPriority w:val="20"/>
    <w:rPr>
      <w:i/>
      <w:iCs/>
    </w:rPr>
  </w:style>
  <w:style w:type="character" w:styleId="11">
    <w:name w:val="Hyperlink"/>
    <w:basedOn w:val="9"/>
    <w:semiHidden/>
    <w:unhideWhenUsed/>
    <w:qFormat/>
    <w:uiPriority w:val="99"/>
    <w:rPr>
      <w:color w:val="0000FF"/>
      <w:u w:val="single"/>
    </w:rPr>
  </w:style>
  <w:style w:type="character" w:styleId="12">
    <w:name w:val="annotation reference"/>
    <w:basedOn w:val="9"/>
    <w:semiHidden/>
    <w:unhideWhenUsed/>
    <w:uiPriority w:val="99"/>
    <w:rPr>
      <w:sz w:val="21"/>
      <w:szCs w:val="21"/>
    </w:rPr>
  </w:style>
  <w:style w:type="character" w:customStyle="1" w:styleId="13">
    <w:name w:val="页脚 字符"/>
    <w:basedOn w:val="9"/>
    <w:link w:val="4"/>
    <w:qFormat/>
    <w:uiPriority w:val="99"/>
    <w:rPr>
      <w:sz w:val="18"/>
      <w:szCs w:val="18"/>
    </w:rPr>
  </w:style>
  <w:style w:type="character" w:customStyle="1" w:styleId="14">
    <w:name w:val="标题 1 字符"/>
    <w:basedOn w:val="9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5">
    <w:name w:val="页眉 字符"/>
    <w:basedOn w:val="9"/>
    <w:link w:val="5"/>
    <w:qFormat/>
    <w:uiPriority w:val="99"/>
    <w:rPr>
      <w:sz w:val="18"/>
      <w:szCs w:val="18"/>
    </w:rPr>
  </w:style>
  <w:style w:type="paragraph" w:customStyle="1" w:styleId="16">
    <w:name w:val="正文 A"/>
    <w:qFormat/>
    <w:uiPriority w:val="0"/>
    <w:pPr>
      <w:widowControl w:val="0"/>
      <w:jc w:val="both"/>
    </w:pPr>
    <w:rPr>
      <w:rFonts w:ascii="Times New Roman" w:hAnsi="Times New Roman" w:eastAsia="Arial Unicode MS" w:cs="Arial Unicode MS"/>
      <w:color w:val="000000"/>
      <w:kern w:val="2"/>
      <w:sz w:val="21"/>
      <w:szCs w:val="21"/>
      <w:u w:color="000000"/>
      <w:lang w:val="en-US" w:eastAsia="zh-CN" w:bidi="ar-SA"/>
    </w:rPr>
  </w:style>
  <w:style w:type="character" w:customStyle="1" w:styleId="17">
    <w:name w:val="批注文字 字符"/>
    <w:basedOn w:val="9"/>
    <w:link w:val="3"/>
    <w:semiHidden/>
    <w:uiPriority w:val="99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8">
    <w:name w:val="批注主题 字符"/>
    <w:basedOn w:val="17"/>
    <w:link w:val="6"/>
    <w:semiHidden/>
    <w:uiPriority w:val="99"/>
    <w:rPr>
      <w:rFonts w:asciiTheme="minorHAnsi" w:hAnsiTheme="minorHAnsi" w:eastAsiaTheme="minorEastAsia" w:cstheme="minorBidi"/>
      <w:b/>
      <w:bCs/>
      <w:kern w:val="2"/>
      <w:sz w:val="21"/>
      <w:szCs w:val="24"/>
    </w:rPr>
  </w:style>
  <w:style w:type="paragraph" w:styleId="19">
    <w:name w:val="List Paragraph"/>
    <w:basedOn w:val="1"/>
    <w:uiPriority w:val="99"/>
    <w:pPr>
      <w:ind w:firstLine="420" w:firstLineChars="200"/>
    </w:pPr>
  </w:style>
  <w:style w:type="character" w:styleId="20">
    <w:name w:val="Placeholder Text"/>
    <w:basedOn w:val="9"/>
    <w:semiHidden/>
    <w:uiPriority w:val="99"/>
    <w:rPr>
      <w:color w:val="80808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10</Pages>
  <Words>807</Words>
  <Characters>4601</Characters>
  <Lines>38</Lines>
  <Paragraphs>10</Paragraphs>
  <TotalTime>1084</TotalTime>
  <ScaleCrop>false</ScaleCrop>
  <LinksUpToDate>false</LinksUpToDate>
  <CharactersWithSpaces>5398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2021-10-11T06:37:00Z</dcterms:created>
  <dc:creator>liyanhui</dc:creator>
  <cp:lastModifiedBy>王婷儿</cp:lastModifiedBy>
  <dcterms:modified xsi:type="dcterms:W3CDTF">2021-10-19T01:02:17Z</dcterms:modified>
  <cp:revision>30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SaveFontToCloudKey">
    <vt:lpwstr>306066664_cloud</vt:lpwstr>
  </property>
  <property fmtid="{D5CDD505-2E9C-101B-9397-08002B2CF9AE}" pid="3" name="KSOProductBuildVer">
    <vt:lpwstr>2052-11.1.0.10938</vt:lpwstr>
  </property>
  <property fmtid="{D5CDD505-2E9C-101B-9397-08002B2CF9AE}" pid="4" name="ICV">
    <vt:lpwstr>DDB6AE20B2004942854C20163755F6A8</vt:lpwstr>
  </property>
</Properties>
</file>