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0" w:afterAutospacing="1" w:line="360" w:lineRule="auto"/>
        <w:jc w:val="left"/>
        <w:rPr>
          <w:rFonts w:ascii="Times New Roman" w:hAnsi="Times New Roman" w:eastAsia="仿宋" w:cs="仿宋"/>
          <w:b/>
          <w:bCs/>
          <w:sz w:val="28"/>
          <w:szCs w:val="28"/>
        </w:rPr>
      </w:pPr>
      <w:r>
        <w:rPr>
          <w:rFonts w:ascii="方正小标宋简体" w:hAnsi="Times New Roman" w:eastAsia="方正小标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方正小标宋简体" w:hAnsi="Times New Roman" w:eastAsia="方正小标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、</w:t>
      </w:r>
      <w:bookmarkStart w:id="0" w:name="_GoBack"/>
      <w:r>
        <w:rPr>
          <w:rFonts w:hint="eastAsia" w:ascii="方正小标宋简体" w:hAnsi="Times New Roman" w:eastAsia="方正小标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2021年高校一流课程建设与申报专题网络培训课程列表</w:t>
      </w:r>
      <w:bookmarkEnd w:id="0"/>
    </w:p>
    <w:tbl>
      <w:tblPr>
        <w:tblStyle w:val="3"/>
        <w:tblW w:w="92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6"/>
        <w:gridCol w:w="1018"/>
        <w:gridCol w:w="2892"/>
        <w:gridCol w:w="11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b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b/>
                <w:color w:val="000000"/>
                <w:kern w:val="0"/>
                <w:sz w:val="24"/>
                <w:lang w:bidi="ar"/>
              </w:rPr>
              <w:t>课程名称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b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b/>
                <w:color w:val="000000"/>
                <w:kern w:val="0"/>
                <w:sz w:val="24"/>
                <w:lang w:bidi="ar"/>
              </w:rPr>
              <w:t>主讲人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b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b/>
                <w:color w:val="000000"/>
                <w:kern w:val="0"/>
                <w:sz w:val="24"/>
                <w:lang w:bidi="ar"/>
              </w:rPr>
              <w:t>单位与职务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b/>
                <w:color w:val="000000"/>
                <w:kern w:val="0"/>
                <w:sz w:val="24"/>
                <w:lang w:bidi="ar"/>
              </w:rPr>
              <w:t>时长</w:t>
            </w:r>
          </w:p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b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b/>
                <w:color w:val="000000"/>
                <w:kern w:val="0"/>
                <w:sz w:val="24"/>
                <w:lang w:bidi="ar"/>
              </w:rPr>
              <w:t>（分钟）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7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一流课程建设的理论基础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金课的基本特征与脑科学原理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王  珏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华中师范大学特聘研究员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黑体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金课的脑科学原理1：以意义感为前提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黑体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王  珏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黑体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华中师范大学特聘研究员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50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黑体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金课的脑科学原理2：以幽默悬念为武器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黑体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王  珏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黑体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华中师范大学特聘研究员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“导客为主”的教学模式原理与实践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冯务中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清华大学马克思主义学院教授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金课背后的心理学理论——走出心理舒适区原则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李  芳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对外经贸大学副研究员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7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一流课程建设的基本范式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"https://study.enaea.edu.cn/kecheng/detail_279046" \o "https://study.enaea.edu.cn/kecheng/detail_279046" </w:instrText>
            </w:r>
            <w:r>
              <w:fldChar w:fldCharType="separate"/>
            </w:r>
            <w:r>
              <w:rPr>
                <w:rStyle w:val="5"/>
                <w:rFonts w:hint="eastAsia" w:ascii="Times New Roman" w:hAnsi="Times New Roman" w:eastAsia="仿宋" w:cs="等线"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OBE教育教学理念简介</w:t>
            </w:r>
            <w:r>
              <w:rPr>
                <w:rStyle w:val="5"/>
                <w:rFonts w:hint="eastAsia" w:ascii="Times New Roman" w:hAnsi="Times New Roman" w:eastAsia="仿宋" w:cs="等线"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郭江峰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浙江理工大学教学发展中心主任、教授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等线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高校金课的基本范式——以学生为中心的教法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李丹青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浙江大学工程师学院兼任教授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52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等线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高校金课的基本范式——以学生为中心的学法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李丹青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浙江大学工程师学院兼任教授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等线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以学生为中心的有效教学设计模型——五星教学原理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周付安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北京工商大学经济学院讲师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等线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金课落地的关键：考试与学习评价创新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邹方东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四川大学生命学院教授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7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一流课程建设的实现路径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等线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高校金课的设计与开发——OBE导向的反向课程设计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戚世梁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西安欧亚学院校级高级顾问、首席培训师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57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"https://study.enaea.edu.cn/kecheng/detail_279044" \o "https://study.enaea.edu.cn/kecheng/detail_279044" </w:instrText>
            </w:r>
            <w:r>
              <w:fldChar w:fldCharType="separate"/>
            </w:r>
            <w:r>
              <w:rPr>
                <w:rStyle w:val="5"/>
                <w:rFonts w:hint="eastAsia" w:ascii="Times New Roman" w:hAnsi="Times New Roman" w:eastAsia="仿宋" w:cs="等线"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t>OBE理念下教与学的实施</w:t>
            </w:r>
            <w:r>
              <w:rPr>
                <w:rStyle w:val="5"/>
                <w:rFonts w:hint="eastAsia" w:ascii="Times New Roman" w:hAnsi="Times New Roman" w:eastAsia="仿宋" w:cs="等线"/>
                <w:color w:val="000000" w:themeColor="text1"/>
                <w:sz w:val="24"/>
                <w:u w:val="none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郭江峰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浙江理工大学教学发展中心主任、教授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高校金课设计的实操文本——高水平人才培养方案的设计、编写与修订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郭建校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黑体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黑体"/>
                <w:color w:val="000000"/>
                <w:kern w:val="0"/>
                <w:sz w:val="24"/>
                <w:szCs w:val="22"/>
                <w:lang w:bidi="ar"/>
              </w:rPr>
              <w:t>天津外国语大学国际商学院院长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高校金课设计实操文本——高水平课程教学大纲的设计、撰写与诊断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李  芳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对外经贸大学副研究员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高校金课的环境建设——高校金课如何建构智慧教学新场景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周华丽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北京联合大学研究员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29</w:t>
            </w:r>
          </w:p>
        </w:tc>
      </w:tr>
    </w:tbl>
    <w:p>
      <w:pPr>
        <w:widowControl/>
        <w:textAlignment w:val="center"/>
        <w:rPr>
          <w:rFonts w:ascii="黑体" w:hAnsi="黑体" w:eastAsia="黑体" w:cs="等线"/>
          <w:bCs/>
          <w:color w:val="000000"/>
          <w:kern w:val="0"/>
          <w:sz w:val="24"/>
          <w:lang w:bidi="ar"/>
        </w:rPr>
      </w:pPr>
    </w:p>
    <w:tbl>
      <w:tblPr>
        <w:tblStyle w:val="3"/>
        <w:tblW w:w="927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6"/>
        <w:gridCol w:w="1018"/>
        <w:gridCol w:w="2892"/>
        <w:gridCol w:w="11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7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一流课程的核心要素与评价标准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课程质量评价浅谈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吴  平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华中农业大学党委常委、副校长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44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高校课堂教学评价的理论和方法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刘振天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教育部高等教育教学评估中心院校教学评估处处长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我们该有什么样的教学评价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李丹青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浙江大学工程师学院兼任教授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70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基于OBE理念的课程建设与成效评估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孙建荣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澳门科技大学教授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用课程诊改带动教学质量提升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吴访升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常州工程职业技术学院党委副书记、院长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123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27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</w:pPr>
            <w:r>
              <w:rPr>
                <w:rFonts w:hint="eastAsia" w:ascii="黑体" w:hAnsi="黑体" w:eastAsia="黑体" w:cs="等线"/>
                <w:bCs/>
                <w:color w:val="000000"/>
                <w:kern w:val="0"/>
                <w:sz w:val="24"/>
                <w:lang w:bidi="ar"/>
              </w:rPr>
              <w:t>一流课程的申报与评审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一流本科课程建设与申报政策解读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余建波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上海交通大学慕课研究院院长助理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一流课程评审指标解读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马昱春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清华大学计算机系副教授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98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一流课程申报材料撰写与案例分享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余建波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上海交通大学慕课研究院院长助理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五类一流课程的教学设计要点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余建波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上海交通大学慕课研究院院长助理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线上线下混合式一流课程的建设与申报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余建波</w:t>
            </w:r>
          </w:p>
        </w:tc>
        <w:tc>
          <w:tcPr>
            <w:tcW w:w="2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仿宋" w:cs="等线"/>
                <w:color w:val="000000"/>
                <w:sz w:val="24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lang w:bidi="ar"/>
              </w:rPr>
              <w:t>上海交通大学慕课研究院院长助理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" w:cs="等线"/>
                <w:color w:val="000000"/>
                <w:sz w:val="24"/>
                <w:szCs w:val="22"/>
              </w:rPr>
            </w:pPr>
            <w:r>
              <w:rPr>
                <w:rFonts w:hint="eastAsia" w:ascii="Times New Roman" w:hAnsi="Times New Roman" w:eastAsia="仿宋" w:cs="等线"/>
                <w:color w:val="000000"/>
                <w:kern w:val="0"/>
                <w:sz w:val="24"/>
                <w:szCs w:val="22"/>
                <w:lang w:bidi="ar"/>
              </w:rPr>
              <w:t>121</w:t>
            </w:r>
          </w:p>
        </w:tc>
      </w:tr>
    </w:tbl>
    <w:p>
      <w:pPr>
        <w:spacing w:before="156" w:beforeLines="50"/>
        <w:jc w:val="left"/>
        <w:rPr>
          <w:rFonts w:ascii="Times New Roman" w:hAnsi="Times New Roman" w:eastAsia="仿宋" w:cs="仿宋"/>
        </w:rPr>
      </w:pPr>
      <w:r>
        <w:rPr>
          <w:rFonts w:hint="eastAsia" w:ascii="Times New Roman" w:hAnsi="Times New Roman" w:eastAsia="仿宋" w:cs="仿宋"/>
          <w:bCs/>
        </w:rPr>
        <w:t>注：1.</w:t>
      </w:r>
      <w:r>
        <w:rPr>
          <w:rFonts w:hint="eastAsia" w:ascii="Times New Roman" w:hAnsi="Times New Roman" w:eastAsia="仿宋" w:cs="仿宋"/>
        </w:rPr>
        <w:t>个别课程或稍有调整，请以平台最终发布课程为准；</w:t>
      </w:r>
    </w:p>
    <w:p>
      <w:pPr>
        <w:ind w:firstLine="420" w:firstLineChars="200"/>
        <w:jc w:val="left"/>
      </w:pPr>
      <w:r>
        <w:rPr>
          <w:rFonts w:hint="eastAsia" w:ascii="Times New Roman" w:hAnsi="Times New Roman" w:eastAsia="仿宋" w:cs="仿宋"/>
        </w:rPr>
        <w:t>2.课程主讲人职务为课程录制时的职务。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39037C"/>
    <w:rsid w:val="6039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2021-10-19T01:03:00Z</dcterms:created>
  <dc:creator>王婷儿</dc:creator>
  <cp:lastModifiedBy>王婷儿</cp:lastModifiedBy>
  <dcterms:modified xsi:type="dcterms:W3CDTF">2021-10-19T01:04:39Z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319620D9CC92470DB7190747FE6ACC89</vt:lpwstr>
  </property>
</Properties>
</file>