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0"/>
        <w:jc w:val="center"/>
        <w:rPr>
          <w:rFonts w:ascii="微软雅黑" w:hAnsi="微软雅黑" w:eastAsia="微软雅黑" w:cs="微软雅黑"/>
          <w:i w:val="0"/>
          <w:caps w:val="0"/>
          <w:color w:val="282828"/>
          <w:spacing w:val="0"/>
          <w:sz w:val="30"/>
          <w:szCs w:val="30"/>
        </w:rPr>
      </w:pPr>
      <w:r>
        <w:rPr>
          <w:rFonts w:hint="eastAsia" w:ascii="微软雅黑" w:hAnsi="微软雅黑" w:eastAsia="微软雅黑" w:cs="微软雅黑"/>
          <w:i w:val="0"/>
          <w:caps w:val="0"/>
          <w:color w:val="282828"/>
          <w:spacing w:val="0"/>
          <w:sz w:val="30"/>
          <w:szCs w:val="30"/>
          <w:bdr w:val="none" w:color="auto" w:sz="0" w:space="0"/>
          <w:shd w:val="clear" w:fill="FFFFFF"/>
        </w:rPr>
        <w:t>湖北经济学院普通本科毕业生学士学位授予管理办法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jc w:val="center"/>
        <w:rPr>
          <w:rFonts w:ascii="仿宋" w:hAnsi="仿宋" w:eastAsia="仿宋" w:cs="仿宋"/>
          <w:caps w:val="0"/>
          <w:color w:val="000000"/>
          <w:spacing w:val="0"/>
          <w:sz w:val="25"/>
          <w:szCs w:val="25"/>
          <w:bdr w:val="none" w:color="auto" w:sz="0" w:space="0"/>
          <w:shd w:val="clear" w:fill="FFFFFF"/>
        </w:rPr>
      </w:pP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jc w:val="center"/>
        <w:rPr>
          <w:rFonts w:ascii="Tahoma" w:hAnsi="Tahoma" w:eastAsia="Tahoma" w:cs="Tahoma"/>
          <w:caps w:val="0"/>
          <w:color w:val="333333"/>
          <w:spacing w:val="0"/>
          <w:sz w:val="16"/>
          <w:szCs w:val="16"/>
        </w:rPr>
      </w:pPr>
      <w:r>
        <w:rPr>
          <w:rFonts w:ascii="仿宋" w:hAnsi="仿宋" w:eastAsia="仿宋" w:cs="仿宋"/>
          <w:caps w:val="0"/>
          <w:color w:val="000000"/>
          <w:spacing w:val="0"/>
          <w:sz w:val="25"/>
          <w:szCs w:val="25"/>
          <w:bdr w:val="none" w:color="auto" w:sz="0" w:space="0"/>
          <w:shd w:val="clear" w:fill="FFFFFF"/>
        </w:rPr>
        <w:t>鄂经院发〔</w:t>
      </w:r>
      <w:r>
        <w:rPr>
          <w:rFonts w:ascii="Times New Roman" w:hAnsi="Times New Roman" w:eastAsia="Tahoma" w:cs="Times New Roman"/>
          <w:caps w:val="0"/>
          <w:color w:val="000000"/>
          <w:spacing w:val="0"/>
          <w:sz w:val="25"/>
          <w:szCs w:val="25"/>
          <w:bdr w:val="none" w:color="auto" w:sz="0" w:space="0"/>
          <w:shd w:val="clear" w:fill="FFFFFF"/>
          <w:lang w:val="en-US"/>
        </w:rPr>
        <w:t>2019</w:t>
      </w:r>
      <w:r>
        <w:rPr>
          <w:rFonts w:hint="eastAsia" w:ascii="仿宋" w:hAnsi="仿宋" w:eastAsia="仿宋" w:cs="仿宋"/>
          <w:caps w:val="0"/>
          <w:color w:val="000000"/>
          <w:spacing w:val="0"/>
          <w:sz w:val="25"/>
          <w:szCs w:val="25"/>
          <w:bdr w:val="none" w:color="auto" w:sz="0" w:space="0"/>
          <w:shd w:val="clear" w:fill="FFFFFF"/>
        </w:rPr>
        <w:t>〕</w:t>
      </w:r>
      <w:r>
        <w:rPr>
          <w:rFonts w:hint="default" w:ascii="Times New Roman" w:hAnsi="Times New Roman" w:eastAsia="Tahoma" w:cs="Times New Roman"/>
          <w:caps w:val="0"/>
          <w:color w:val="000000"/>
          <w:spacing w:val="0"/>
          <w:sz w:val="25"/>
          <w:szCs w:val="25"/>
          <w:bdr w:val="none" w:color="auto" w:sz="0" w:space="0"/>
          <w:shd w:val="clear" w:fill="FFFFFF"/>
          <w:lang w:val="en-US"/>
        </w:rPr>
        <w:t>21</w:t>
      </w:r>
      <w:r>
        <w:rPr>
          <w:rFonts w:hint="eastAsia" w:ascii="仿宋" w:hAnsi="仿宋" w:eastAsia="仿宋" w:cs="仿宋"/>
          <w:caps w:val="0"/>
          <w:color w:val="000000"/>
          <w:spacing w:val="0"/>
          <w:sz w:val="25"/>
          <w:szCs w:val="25"/>
          <w:bdr w:val="none" w:color="auto" w:sz="0" w:space="0"/>
          <w:shd w:val="clear" w:fill="FFFFFF"/>
        </w:rPr>
        <w:t>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92" w:lineRule="atLeast"/>
        <w:ind w:left="0" w:right="0" w:firstLine="516"/>
        <w:jc w:val="left"/>
        <w:rPr>
          <w:rFonts w:hint="default" w:ascii="Tahoma" w:hAnsi="Tahoma" w:eastAsia="Tahoma" w:cs="Tahoma"/>
          <w:caps w:val="0"/>
          <w:color w:val="333333"/>
          <w:spacing w:val="0"/>
          <w:sz w:val="16"/>
          <w:szCs w:val="16"/>
        </w:rPr>
      </w:pPr>
      <w:r>
        <w:rPr>
          <w:rFonts w:hint="default" w:ascii="Tahoma" w:hAnsi="Tahoma" w:eastAsia="Tahoma" w:cs="Tahoma"/>
          <w:caps w:val="0"/>
          <w:color w:val="333333"/>
          <w:spacing w:val="0"/>
          <w:kern w:val="0"/>
          <w:sz w:val="16"/>
          <w:szCs w:val="16"/>
          <w:bdr w:val="none" w:color="auto" w:sz="0" w:space="0"/>
          <w:shd w:val="clear" w:fill="FFFFFF"/>
          <w:lang w:val="en-US" w:eastAsia="zh-CN" w:bidi="ar"/>
        </w:rPr>
        <w:t>                                                    </w:t>
      </w:r>
      <w:r>
        <w:rPr>
          <w:rFonts w:hint="default" w:ascii="Times New Roman" w:hAnsi="Times New Roman" w:eastAsia="Tahoma" w:cs="Times New Roman"/>
          <w:caps w:val="0"/>
          <w:color w:val="000000"/>
          <w:spacing w:val="0"/>
          <w:kern w:val="0"/>
          <w:sz w:val="25"/>
          <w:szCs w:val="25"/>
          <w:bdr w:val="none" w:color="auto" w:sz="0" w:space="0"/>
          <w:shd w:val="clear" w:fill="FFFFFF"/>
          <w:lang w:val="en-US" w:eastAsia="zh-CN" w:bidi="ar"/>
        </w:rPr>
        <w:t>2019</w:t>
      </w:r>
      <w:r>
        <w:rPr>
          <w:rFonts w:hint="eastAsia" w:ascii="仿宋" w:hAnsi="仿宋" w:eastAsia="仿宋" w:cs="仿宋"/>
          <w:caps w:val="0"/>
          <w:color w:val="000000"/>
          <w:spacing w:val="0"/>
          <w:kern w:val="0"/>
          <w:sz w:val="25"/>
          <w:szCs w:val="25"/>
          <w:bdr w:val="none" w:color="auto" w:sz="0" w:space="0"/>
          <w:shd w:val="clear" w:fill="FFFFFF"/>
          <w:lang w:val="en-US" w:eastAsia="zh-CN" w:bidi="ar"/>
        </w:rPr>
        <w:t>年</w:t>
      </w:r>
      <w:r>
        <w:rPr>
          <w:rFonts w:hint="default" w:ascii="Times New Roman" w:hAnsi="Times New Roman" w:eastAsia="Tahoma" w:cs="Times New Roman"/>
          <w:caps w:val="0"/>
          <w:color w:val="000000"/>
          <w:spacing w:val="0"/>
          <w:kern w:val="0"/>
          <w:sz w:val="25"/>
          <w:szCs w:val="25"/>
          <w:bdr w:val="none" w:color="auto" w:sz="0" w:space="0"/>
          <w:shd w:val="clear" w:fill="FFFFFF"/>
          <w:lang w:val="en-US" w:eastAsia="zh-CN" w:bidi="ar"/>
        </w:rPr>
        <w:t>3</w:t>
      </w:r>
      <w:r>
        <w:rPr>
          <w:rFonts w:hint="eastAsia" w:ascii="仿宋" w:hAnsi="仿宋" w:eastAsia="仿宋" w:cs="仿宋"/>
          <w:caps w:val="0"/>
          <w:color w:val="000000"/>
          <w:spacing w:val="0"/>
          <w:kern w:val="0"/>
          <w:sz w:val="25"/>
          <w:szCs w:val="25"/>
          <w:bdr w:val="none" w:color="auto" w:sz="0" w:space="0"/>
          <w:shd w:val="clear" w:fill="FFFFFF"/>
          <w:lang w:val="en-US" w:eastAsia="zh-CN" w:bidi="ar"/>
        </w:rPr>
        <w:t>月</w:t>
      </w:r>
      <w:r>
        <w:rPr>
          <w:rFonts w:hint="default" w:ascii="Times New Roman" w:hAnsi="Times New Roman" w:eastAsia="Tahoma" w:cs="Times New Roman"/>
          <w:caps w:val="0"/>
          <w:color w:val="000000"/>
          <w:spacing w:val="0"/>
          <w:kern w:val="0"/>
          <w:sz w:val="25"/>
          <w:szCs w:val="25"/>
          <w:bdr w:val="none" w:color="auto" w:sz="0" w:space="0"/>
          <w:shd w:val="clear" w:fill="FFFFFF"/>
          <w:lang w:val="en-US" w:eastAsia="zh-CN" w:bidi="ar"/>
        </w:rPr>
        <w:t>6</w:t>
      </w:r>
      <w:r>
        <w:rPr>
          <w:rFonts w:hint="eastAsia" w:ascii="仿宋" w:hAnsi="仿宋" w:eastAsia="仿宋" w:cs="仿宋"/>
          <w:caps w:val="0"/>
          <w:color w:val="000000"/>
          <w:spacing w:val="0"/>
          <w:kern w:val="0"/>
          <w:sz w:val="25"/>
          <w:szCs w:val="25"/>
          <w:bdr w:val="none" w:color="auto" w:sz="0" w:space="0"/>
          <w:shd w:val="clear" w:fill="FFFFFF"/>
          <w:lang w:val="en-US" w:eastAsia="zh-CN" w:bidi="ar"/>
        </w:rPr>
        <w:t>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92" w:lineRule="atLeast"/>
        <w:ind w:left="0" w:right="0" w:firstLine="516"/>
        <w:jc w:val="left"/>
        <w:rPr>
          <w:rFonts w:hint="default" w:ascii="Tahoma" w:hAnsi="Tahoma" w:eastAsia="Tahoma" w:cs="Tahoma"/>
          <w:caps w:val="0"/>
          <w:color w:val="333333"/>
          <w:spacing w:val="0"/>
          <w:sz w:val="16"/>
          <w:szCs w:val="16"/>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92"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为规范我校学士学位授予工作，依据《中华人民共和国学位条例》《中华人民共和国学位条例暂行实施办法》及《湖北省学位委员会关于授予学士学位办法（试行）》，结合我校实际情况，制定本办法。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92"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第一条各专业学士学位按教育部颁发的《普通高等学校本科专业目录》相应的学科门类授予。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92"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第二条我校的普通本科毕业生，拥护中国共产党的领导、拥护社会主义制度、拥护中华人民共和国宪法，遵守法律、法规，在学籍管理规定的修业年限内，达到本科人才培养方案的各项要求，修满学分，经审核准予毕业，可以按照本办法的规定申请学士学位。辅修双学士学位的学生，已达到主修专业学士学位授予资格，且达到辅修学位授予条件的，可申请双学士学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92"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第三条学士学位授予工作遵循</w:t>
      </w:r>
      <w:r>
        <w:rPr>
          <w:rFonts w:hint="default" w:ascii="Times New Roman" w:hAnsi="Times New Roman" w:eastAsia="Tahoma" w:cs="Times New Roman"/>
          <w:caps w:val="0"/>
          <w:color w:val="333333"/>
          <w:spacing w:val="0"/>
          <w:kern w:val="0"/>
          <w:sz w:val="25"/>
          <w:szCs w:val="25"/>
          <w:bdr w:val="none" w:color="auto" w:sz="0" w:space="0"/>
          <w:shd w:val="clear" w:fill="FFFFFF"/>
          <w:lang w:val="en-US" w:eastAsia="zh-CN" w:bidi="ar"/>
        </w:rPr>
        <w:t>“</w:t>
      </w:r>
      <w:r>
        <w:rPr>
          <w:rFonts w:hint="eastAsia" w:ascii="仿宋" w:hAnsi="仿宋" w:eastAsia="仿宋" w:cs="仿宋"/>
          <w:caps w:val="0"/>
          <w:color w:val="333333"/>
          <w:spacing w:val="0"/>
          <w:kern w:val="0"/>
          <w:sz w:val="25"/>
          <w:szCs w:val="25"/>
          <w:bdr w:val="none" w:color="auto" w:sz="0" w:space="0"/>
          <w:shd w:val="clear" w:fill="FFFFFF"/>
          <w:lang w:val="en-US" w:eastAsia="zh-CN" w:bidi="ar"/>
        </w:rPr>
        <w:t>坚持标准、严格把关、保证质量、宁缺毋滥</w:t>
      </w:r>
      <w:r>
        <w:rPr>
          <w:rFonts w:hint="default" w:ascii="Times New Roman" w:hAnsi="Times New Roman" w:eastAsia="Tahoma" w:cs="Times New Roman"/>
          <w:caps w:val="0"/>
          <w:color w:val="333333"/>
          <w:spacing w:val="0"/>
          <w:kern w:val="0"/>
          <w:sz w:val="25"/>
          <w:szCs w:val="25"/>
          <w:bdr w:val="none" w:color="auto" w:sz="0" w:space="0"/>
          <w:shd w:val="clear" w:fill="FFFFFF"/>
          <w:lang w:val="en-US" w:eastAsia="zh-CN" w:bidi="ar"/>
        </w:rPr>
        <w:t>”</w:t>
      </w:r>
      <w:r>
        <w:rPr>
          <w:rFonts w:hint="eastAsia" w:ascii="仿宋" w:hAnsi="仿宋" w:eastAsia="仿宋" w:cs="仿宋"/>
          <w:caps w:val="0"/>
          <w:color w:val="333333"/>
          <w:spacing w:val="0"/>
          <w:kern w:val="0"/>
          <w:sz w:val="25"/>
          <w:szCs w:val="25"/>
          <w:bdr w:val="none" w:color="auto" w:sz="0" w:space="0"/>
          <w:shd w:val="clear" w:fill="FFFFFF"/>
          <w:lang w:val="en-US" w:eastAsia="zh-CN" w:bidi="ar"/>
        </w:rPr>
        <w:t>的原则。对已授予学士学位者，如发现有舞弊或弄虚作假等严重行为的，经学校学位评定委员会审议后予以撤销，并报湖北省学位委员会办公室备案。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92"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第四条学士学位授予工作在学校学位评定委员会领导下进行，日常工作由学校学位评定委员会办公室负责。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第五条有下列情形之一者，不授予学士学位：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（一）违背国家法律法规、公民道德规范、学校规章制度，品行不端正；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（二）未修完培养计划规定的课程或学分，毕业当年未能获得毕业证书者；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（三）违背学术诚信，因考试违纪受到过记过以上处分者；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（四）剽窃、抄袭他人研究成果、弄虚作假，情节严重者。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第六条毕业生已达到毕业条件，但因第五条第（三）款情形，不能授予学士学位者，如在学科竞赛、科学研究、社会实践等方面取得突出成绩，符合以下情况之一者，可破格申请授予学士学位：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（一）在校学习期间，在各类学科和科技竞赛中取得优异成绩，获得国家奖且排名前五或省级二等奖及以上且排名前三者；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（二）在校学习期间，在中国知网（</w:t>
      </w:r>
      <w:r>
        <w:rPr>
          <w:rFonts w:hint="default" w:ascii="Times New Roman" w:hAnsi="Times New Roman" w:eastAsia="Tahoma" w:cs="Times New Roman"/>
          <w:caps w:val="0"/>
          <w:color w:val="333333"/>
          <w:spacing w:val="0"/>
          <w:kern w:val="0"/>
          <w:sz w:val="25"/>
          <w:szCs w:val="25"/>
          <w:bdr w:val="none" w:color="auto" w:sz="0" w:space="0"/>
          <w:shd w:val="clear" w:fill="FFFFFF"/>
          <w:lang w:val="en-US" w:eastAsia="zh-CN" w:bidi="ar"/>
        </w:rPr>
        <w:t>CNKI</w:t>
      </w:r>
      <w:r>
        <w:rPr>
          <w:rFonts w:hint="eastAsia" w:ascii="仿宋" w:hAnsi="仿宋" w:eastAsia="仿宋" w:cs="仿宋"/>
          <w:caps w:val="0"/>
          <w:color w:val="333333"/>
          <w:spacing w:val="0"/>
          <w:kern w:val="0"/>
          <w:sz w:val="25"/>
          <w:szCs w:val="25"/>
          <w:bdr w:val="none" w:color="auto" w:sz="0" w:space="0"/>
          <w:shd w:val="clear" w:fill="FFFFFF"/>
          <w:lang w:val="en-US" w:eastAsia="zh-CN" w:bidi="ar"/>
        </w:rPr>
        <w:t>）收录的学术期刊上，以湖北经济学院为第一完成单位，并以第一作者身份发表一篇与本专业相关的学术论文者（我校指导教师为第一作者，学生为第二作者的，学生视同为第一作者），论文经中国知网检测查重率低于</w:t>
      </w:r>
      <w:r>
        <w:rPr>
          <w:rFonts w:hint="default" w:ascii="Times New Roman" w:hAnsi="Times New Roman" w:eastAsia="Tahoma" w:cs="Times New Roman"/>
          <w:caps w:val="0"/>
          <w:color w:val="333333"/>
          <w:spacing w:val="0"/>
          <w:kern w:val="0"/>
          <w:sz w:val="25"/>
          <w:szCs w:val="25"/>
          <w:bdr w:val="none" w:color="auto" w:sz="0" w:space="0"/>
          <w:shd w:val="clear" w:fill="FFFFFF"/>
          <w:lang w:val="en-US" w:eastAsia="zh-CN" w:bidi="ar"/>
        </w:rPr>
        <w:t>20%</w:t>
      </w:r>
      <w:r>
        <w:rPr>
          <w:rFonts w:hint="eastAsia" w:ascii="仿宋" w:hAnsi="仿宋" w:eastAsia="仿宋" w:cs="仿宋"/>
          <w:caps w:val="0"/>
          <w:color w:val="333333"/>
          <w:spacing w:val="0"/>
          <w:kern w:val="0"/>
          <w:sz w:val="25"/>
          <w:szCs w:val="25"/>
          <w:bdr w:val="none" w:color="auto" w:sz="0" w:space="0"/>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（三）在校学习期间，申请并获得授权发明专利者</w:t>
      </w:r>
      <w:r>
        <w:rPr>
          <w:rFonts w:hint="default" w:ascii="Times New Roman" w:hAnsi="Times New Roman" w:eastAsia="Tahoma" w:cs="Times New Roman"/>
          <w:caps w:val="0"/>
          <w:color w:val="333333"/>
          <w:spacing w:val="0"/>
          <w:kern w:val="0"/>
          <w:sz w:val="25"/>
          <w:szCs w:val="25"/>
          <w:bdr w:val="none" w:color="auto" w:sz="0" w:space="0"/>
          <w:shd w:val="clear" w:fill="FFFFFF"/>
          <w:lang w:val="en-US" w:eastAsia="zh-CN" w:bidi="ar"/>
        </w:rPr>
        <w:t>(</w:t>
      </w:r>
      <w:r>
        <w:rPr>
          <w:rFonts w:hint="eastAsia" w:ascii="仿宋" w:hAnsi="仿宋" w:eastAsia="仿宋" w:cs="仿宋"/>
          <w:caps w:val="0"/>
          <w:color w:val="333333"/>
          <w:spacing w:val="0"/>
          <w:kern w:val="0"/>
          <w:sz w:val="25"/>
          <w:szCs w:val="25"/>
          <w:bdr w:val="none" w:color="auto" w:sz="0" w:space="0"/>
          <w:shd w:val="clear" w:fill="FFFFFF"/>
          <w:lang w:val="en-US" w:eastAsia="zh-CN" w:bidi="ar"/>
        </w:rPr>
        <w:t>第一发明人必须为学生本人，专利权人仅为湖北经济学院</w:t>
      </w:r>
      <w:r>
        <w:rPr>
          <w:rFonts w:hint="default" w:ascii="Times New Roman" w:hAnsi="Times New Roman" w:eastAsia="Tahoma" w:cs="Times New Roman"/>
          <w:caps w:val="0"/>
          <w:color w:val="333333"/>
          <w:spacing w:val="0"/>
          <w:kern w:val="0"/>
          <w:sz w:val="25"/>
          <w:szCs w:val="25"/>
          <w:bdr w:val="none" w:color="auto" w:sz="0" w:space="0"/>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（四）学生应征入伍或服役期满退伍者；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（五）考上公务员、研究生或参加国家支援边远地区行动计划项目；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（六）在社会实践中获得省级以上奖励者；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（七）学校学位评定委员会决定可破格授予学位的。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第七条学士学位授予程序依据《湖北经济学院学位评定委员会章程》相关内容执行。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（一）校学位评定委员会一般每年召开两次例会，审议学位授予工作。其它有关学位评定工作，如有必要，可临时由学位评定委员会主席决定召开或授权召开。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（二）学位评定分委员会应分别于每年学校学位评定委员会两次例会前召开全体会议，进行学位评定工作。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（三）学位评定委员会及分委员会在工作中应遵循以下原则：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default" w:ascii="Times New Roman" w:hAnsi="Times New Roman" w:eastAsia="Tahoma" w:cs="Times New Roman"/>
          <w:caps w:val="0"/>
          <w:color w:val="333333"/>
          <w:spacing w:val="0"/>
          <w:kern w:val="0"/>
          <w:sz w:val="25"/>
          <w:szCs w:val="25"/>
          <w:bdr w:val="none" w:color="auto" w:sz="0" w:space="0"/>
          <w:shd w:val="clear" w:fill="FFFFFF"/>
          <w:lang w:val="en-US" w:eastAsia="zh-CN" w:bidi="ar"/>
        </w:rPr>
        <w:t>1</w:t>
      </w:r>
      <w:r>
        <w:rPr>
          <w:rFonts w:hint="eastAsia" w:ascii="仿宋" w:hAnsi="仿宋" w:eastAsia="仿宋" w:cs="仿宋"/>
          <w:caps w:val="0"/>
          <w:color w:val="333333"/>
          <w:spacing w:val="0"/>
          <w:kern w:val="0"/>
          <w:sz w:val="25"/>
          <w:szCs w:val="25"/>
          <w:bdr w:val="none" w:color="auto" w:sz="0" w:space="0"/>
          <w:shd w:val="clear" w:fill="FFFFFF"/>
          <w:lang w:val="en-US" w:eastAsia="zh-CN" w:bidi="ar"/>
        </w:rPr>
        <w:t>．坚持标准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坚持学位授予标准，保证学位授予质量，维护学位授予工作的严肃性。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default" w:ascii="Times New Roman" w:hAnsi="Times New Roman" w:eastAsia="Tahoma" w:cs="Times New Roman"/>
          <w:caps w:val="0"/>
          <w:color w:val="333333"/>
          <w:spacing w:val="0"/>
          <w:kern w:val="0"/>
          <w:sz w:val="25"/>
          <w:szCs w:val="25"/>
          <w:bdr w:val="none" w:color="auto" w:sz="0" w:space="0"/>
          <w:shd w:val="clear" w:fill="FFFFFF"/>
          <w:lang w:val="en-US" w:eastAsia="zh-CN" w:bidi="ar"/>
        </w:rPr>
        <w:t>2</w:t>
      </w:r>
      <w:r>
        <w:rPr>
          <w:rFonts w:hint="eastAsia" w:ascii="仿宋" w:hAnsi="仿宋" w:eastAsia="仿宋" w:cs="仿宋"/>
          <w:caps w:val="0"/>
          <w:color w:val="333333"/>
          <w:spacing w:val="0"/>
          <w:kern w:val="0"/>
          <w:sz w:val="25"/>
          <w:szCs w:val="25"/>
          <w:bdr w:val="none" w:color="auto" w:sz="0" w:space="0"/>
          <w:shd w:val="clear" w:fill="FFFFFF"/>
          <w:lang w:val="en-US" w:eastAsia="zh-CN" w:bidi="ar"/>
        </w:rPr>
        <w:t>．坚持民主集中制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w:t>
      </w:r>
      <w:r>
        <w:rPr>
          <w:rFonts w:hint="default" w:ascii="Times New Roman" w:hAnsi="Times New Roman" w:eastAsia="Tahoma" w:cs="Times New Roman"/>
          <w:caps w:val="0"/>
          <w:color w:val="333333"/>
          <w:spacing w:val="0"/>
          <w:kern w:val="0"/>
          <w:sz w:val="25"/>
          <w:szCs w:val="25"/>
          <w:bdr w:val="none" w:color="auto" w:sz="0" w:space="0"/>
          <w:shd w:val="clear" w:fill="FFFFFF"/>
          <w:lang w:val="en-US" w:eastAsia="zh-CN" w:bidi="ar"/>
        </w:rPr>
        <w:t>1</w:t>
      </w:r>
      <w:r>
        <w:rPr>
          <w:rFonts w:hint="eastAsia" w:ascii="仿宋" w:hAnsi="仿宋" w:eastAsia="仿宋" w:cs="仿宋"/>
          <w:caps w:val="0"/>
          <w:color w:val="333333"/>
          <w:spacing w:val="0"/>
          <w:kern w:val="0"/>
          <w:sz w:val="25"/>
          <w:szCs w:val="25"/>
          <w:bdr w:val="none" w:color="auto" w:sz="0" w:space="0"/>
          <w:shd w:val="clear" w:fill="FFFFFF"/>
          <w:lang w:val="en-US" w:eastAsia="zh-CN" w:bidi="ar"/>
        </w:rPr>
        <w:t>）学位评定委员会及分委员会决定事项时采用无记名表决方式。召开会议，实际到会人数必须不少于全体委员数三分之二；在作出决议进行表决时，经到会委员三分之二以上（含）同意，且同意人数须达到该委员会全体委员人数的二分之一以上（含），方为有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w:t>
      </w:r>
      <w:r>
        <w:rPr>
          <w:rFonts w:hint="default" w:ascii="Times New Roman" w:hAnsi="Times New Roman" w:eastAsia="Tahoma" w:cs="Times New Roman"/>
          <w:caps w:val="0"/>
          <w:color w:val="333333"/>
          <w:spacing w:val="0"/>
          <w:kern w:val="0"/>
          <w:sz w:val="25"/>
          <w:szCs w:val="25"/>
          <w:bdr w:val="none" w:color="auto" w:sz="0" w:space="0"/>
          <w:shd w:val="clear" w:fill="FFFFFF"/>
          <w:lang w:val="en-US" w:eastAsia="zh-CN" w:bidi="ar"/>
        </w:rPr>
        <w:t>2</w:t>
      </w:r>
      <w:r>
        <w:rPr>
          <w:rFonts w:hint="eastAsia" w:ascii="仿宋" w:hAnsi="仿宋" w:eastAsia="仿宋" w:cs="仿宋"/>
          <w:caps w:val="0"/>
          <w:color w:val="333333"/>
          <w:spacing w:val="0"/>
          <w:kern w:val="0"/>
          <w:sz w:val="25"/>
          <w:szCs w:val="25"/>
          <w:bdr w:val="none" w:color="auto" w:sz="0" w:space="0"/>
          <w:shd w:val="clear" w:fill="FFFFFF"/>
          <w:lang w:val="en-US" w:eastAsia="zh-CN" w:bidi="ar"/>
        </w:rPr>
        <w:t>）对有争议的问题，校学位评定委员会在作出裁决前应充分听取学位评定分委员会和有关人员的意见；在作出裁决后，学位评定分委员会和有关人员应服从和维护校学位评定委员会的裁决：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对学位申请、课程考试、论文答辩等有争议的，有关人员可在相应结果公布之日起两个月内向所在学院学位评定分委员会提出申诉。经学位评定分委员会裁决后，仍有争议的，可在两个月内向校学位评定委员会提出申诉，由校学位评定委员会复审，复审后的决议为最后决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第八条成人教育学生学士学位授予参照本办法执行。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第九条学士学位证书遗失或者损坏，经学生本人申请，学校核实后出具学士学位证明书。学士学位证明书与原学士学位证书具有同等效力。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第十条本办法自公布之日起施行，原《湖北经济学院授予学士学位的实施细则》（鄂经院发〔</w:t>
      </w:r>
      <w:r>
        <w:rPr>
          <w:rFonts w:hint="default" w:ascii="Times New Roman" w:hAnsi="Times New Roman" w:eastAsia="Tahoma" w:cs="Times New Roman"/>
          <w:caps w:val="0"/>
          <w:color w:val="333333"/>
          <w:spacing w:val="0"/>
          <w:kern w:val="0"/>
          <w:sz w:val="25"/>
          <w:szCs w:val="25"/>
          <w:bdr w:val="none" w:color="auto" w:sz="0" w:space="0"/>
          <w:shd w:val="clear" w:fill="FFFFFF"/>
          <w:lang w:val="en-US" w:eastAsia="zh-CN" w:bidi="ar"/>
        </w:rPr>
        <w:t>2015</w:t>
      </w:r>
      <w:r>
        <w:rPr>
          <w:rFonts w:hint="eastAsia" w:ascii="仿宋" w:hAnsi="仿宋" w:eastAsia="仿宋" w:cs="仿宋"/>
          <w:caps w:val="0"/>
          <w:color w:val="333333"/>
          <w:spacing w:val="0"/>
          <w:kern w:val="0"/>
          <w:sz w:val="25"/>
          <w:szCs w:val="25"/>
          <w:bdr w:val="none" w:color="auto" w:sz="0" w:space="0"/>
          <w:shd w:val="clear" w:fill="FFFFFF"/>
          <w:lang w:val="en-US" w:eastAsia="zh-CN" w:bidi="ar"/>
        </w:rPr>
        <w:t>〕</w:t>
      </w:r>
      <w:r>
        <w:rPr>
          <w:rFonts w:hint="default" w:ascii="Times New Roman" w:hAnsi="Times New Roman" w:eastAsia="Tahoma" w:cs="Times New Roman"/>
          <w:caps w:val="0"/>
          <w:color w:val="333333"/>
          <w:spacing w:val="0"/>
          <w:kern w:val="0"/>
          <w:sz w:val="25"/>
          <w:szCs w:val="25"/>
          <w:bdr w:val="none" w:color="auto" w:sz="0" w:space="0"/>
          <w:shd w:val="clear" w:fill="FFFFFF"/>
          <w:lang w:val="en-US" w:eastAsia="zh-CN" w:bidi="ar"/>
        </w:rPr>
        <w:t>50</w:t>
      </w:r>
      <w:r>
        <w:rPr>
          <w:rFonts w:hint="eastAsia" w:ascii="仿宋" w:hAnsi="仿宋" w:eastAsia="仿宋" w:cs="仿宋"/>
          <w:caps w:val="0"/>
          <w:color w:val="333333"/>
          <w:spacing w:val="0"/>
          <w:kern w:val="0"/>
          <w:sz w:val="25"/>
          <w:szCs w:val="25"/>
          <w:bdr w:val="none" w:color="auto" w:sz="0" w:space="0"/>
          <w:shd w:val="clear" w:fill="FFFFFF"/>
          <w:lang w:val="en-US" w:eastAsia="zh-CN" w:bidi="ar"/>
        </w:rPr>
        <w:t>号）同时废止。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2" w:afterAutospacing="0" w:line="480" w:lineRule="atLeast"/>
        <w:ind w:left="0" w:right="0" w:firstLine="516"/>
        <w:jc w:val="left"/>
        <w:rPr>
          <w:rFonts w:hint="default" w:ascii="Tahoma" w:hAnsi="Tahoma" w:eastAsia="Tahoma" w:cs="Tahoma"/>
          <w:caps w:val="0"/>
          <w:color w:val="333333"/>
          <w:spacing w:val="0"/>
          <w:sz w:val="16"/>
          <w:szCs w:val="16"/>
        </w:rPr>
      </w:pPr>
      <w:r>
        <w:rPr>
          <w:rFonts w:hint="eastAsia" w:ascii="仿宋" w:hAnsi="仿宋" w:eastAsia="仿宋" w:cs="仿宋"/>
          <w:caps w:val="0"/>
          <w:color w:val="333333"/>
          <w:spacing w:val="0"/>
          <w:kern w:val="0"/>
          <w:sz w:val="25"/>
          <w:szCs w:val="25"/>
          <w:bdr w:val="none" w:color="auto" w:sz="0" w:space="0"/>
          <w:shd w:val="clear" w:fill="FFFFFF"/>
          <w:lang w:val="en-US" w:eastAsia="zh-CN" w:bidi="ar"/>
        </w:rPr>
        <w:t>第十一条本办法由学校学位评定委员会办公室解释。</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794C39"/>
    <w:rsid w:val="5F794C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2020-04-03T05:40:00Z</dcterms:created>
  <dc:creator>老坛酸菜</dc:creator>
  <cp:lastModifiedBy>老坛酸菜</cp:lastModifiedBy>
  <dcterms:modified xsi:type="dcterms:W3CDTF">2020-04-03T05:41:11Z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